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B006">
      <w:pPr>
        <w:widowControl/>
        <w:spacing w:line="276" w:lineRule="auto"/>
        <w:jc w:val="center"/>
        <w:rPr>
          <w:rFonts w:hint="eastAsia" w:ascii="宋体" w:hAnsi="宋体" w:eastAsia="宋体" w:cs="宋体"/>
          <w:b/>
          <w:sz w:val="72"/>
          <w:szCs w:val="72"/>
        </w:rPr>
      </w:pPr>
    </w:p>
    <w:p w14:paraId="4AB3F70F">
      <w:pPr>
        <w:pStyle w:val="29"/>
        <w:rPr>
          <w:rFonts w:hint="eastAsia"/>
        </w:rPr>
      </w:pPr>
    </w:p>
    <w:p w14:paraId="5EE1B1A0">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合肥综合性科学中心环境研究院顶空气相色谱仪设备采购</w:t>
      </w:r>
    </w:p>
    <w:p w14:paraId="5CA99B35">
      <w:pPr>
        <w:widowControl/>
        <w:spacing w:line="276" w:lineRule="auto"/>
        <w:jc w:val="center"/>
        <w:rPr>
          <w:rFonts w:hint="eastAsia" w:ascii="宋体" w:hAnsi="宋体" w:eastAsia="宋体" w:cs="宋体"/>
          <w:b/>
          <w:sz w:val="72"/>
          <w:szCs w:val="72"/>
        </w:rPr>
      </w:pPr>
    </w:p>
    <w:p w14:paraId="5E8FE3AA">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8A849C">
      <w:pPr>
        <w:pStyle w:val="76"/>
        <w:spacing w:line="360" w:lineRule="auto"/>
        <w:rPr>
          <w:rFonts w:hint="eastAsia" w:hAnsi="宋体" w:eastAsia="宋体" w:cs="宋体"/>
        </w:rPr>
      </w:pPr>
    </w:p>
    <w:p w14:paraId="228C3FD7">
      <w:pPr>
        <w:pStyle w:val="76"/>
        <w:spacing w:line="360" w:lineRule="auto"/>
        <w:rPr>
          <w:rFonts w:hint="eastAsia" w:hAnsi="宋体" w:eastAsia="宋体" w:cs="宋体"/>
        </w:rPr>
      </w:pPr>
    </w:p>
    <w:p w14:paraId="0A1C13DC">
      <w:pPr>
        <w:pStyle w:val="76"/>
        <w:spacing w:line="360" w:lineRule="auto"/>
        <w:rPr>
          <w:rFonts w:hint="eastAsia" w:hAnsi="宋体" w:eastAsia="宋体" w:cs="宋体"/>
        </w:rPr>
      </w:pPr>
    </w:p>
    <w:p w14:paraId="5876C07F">
      <w:pPr>
        <w:pStyle w:val="76"/>
        <w:spacing w:line="360" w:lineRule="auto"/>
        <w:rPr>
          <w:rFonts w:hint="eastAsia" w:hAnsi="宋体" w:eastAsia="宋体" w:cs="宋体"/>
        </w:rPr>
      </w:pPr>
    </w:p>
    <w:p w14:paraId="366707FC">
      <w:pPr>
        <w:widowControl/>
        <w:rPr>
          <w:rFonts w:hint="eastAsia" w:ascii="宋体" w:hAnsi="宋体" w:eastAsia="宋体" w:cs="宋体"/>
          <w:b/>
          <w:kern w:val="0"/>
          <w:sz w:val="28"/>
        </w:rPr>
      </w:pPr>
    </w:p>
    <w:p w14:paraId="076CF58F">
      <w:pPr>
        <w:widowControl/>
        <w:rPr>
          <w:rFonts w:hint="eastAsia" w:ascii="宋体" w:hAnsi="宋体" w:eastAsia="宋体" w:cs="宋体"/>
          <w:b/>
          <w:kern w:val="0"/>
          <w:sz w:val="28"/>
        </w:rPr>
      </w:pPr>
    </w:p>
    <w:p w14:paraId="6D17F93C">
      <w:pPr>
        <w:widowControl/>
        <w:rPr>
          <w:rFonts w:hint="eastAsia" w:ascii="宋体" w:hAnsi="宋体" w:eastAsia="宋体" w:cs="宋体"/>
          <w:b/>
          <w:kern w:val="0"/>
          <w:sz w:val="28"/>
        </w:rPr>
      </w:pPr>
    </w:p>
    <w:p w14:paraId="055F1547">
      <w:pPr>
        <w:widowControl/>
        <w:rPr>
          <w:rFonts w:hint="eastAsia" w:ascii="宋体" w:hAnsi="宋体" w:eastAsia="宋体" w:cs="宋体"/>
          <w:b/>
          <w:kern w:val="0"/>
          <w:sz w:val="28"/>
        </w:rPr>
      </w:pPr>
    </w:p>
    <w:p w14:paraId="770950C2">
      <w:pPr>
        <w:widowControl/>
        <w:rPr>
          <w:rFonts w:hint="eastAsia" w:ascii="宋体" w:hAnsi="宋体" w:eastAsia="宋体" w:cs="宋体"/>
          <w:b/>
          <w:kern w:val="0"/>
          <w:sz w:val="28"/>
        </w:rPr>
      </w:pPr>
    </w:p>
    <w:p w14:paraId="4D4BB087">
      <w:pPr>
        <w:widowControl/>
        <w:rPr>
          <w:rFonts w:hint="eastAsia" w:ascii="宋体" w:hAnsi="宋体" w:eastAsia="宋体" w:cs="宋体"/>
          <w:b/>
          <w:kern w:val="0"/>
          <w:sz w:val="28"/>
        </w:rPr>
      </w:pPr>
    </w:p>
    <w:p w14:paraId="2B8AAD87">
      <w:pPr>
        <w:widowControl/>
        <w:rPr>
          <w:rFonts w:hint="eastAsia" w:ascii="宋体" w:hAnsi="宋体" w:eastAsia="宋体" w:cs="宋体"/>
          <w:b/>
          <w:kern w:val="0"/>
          <w:sz w:val="28"/>
        </w:rPr>
      </w:pPr>
    </w:p>
    <w:p w14:paraId="1AAAA8AE">
      <w:pPr>
        <w:widowControl/>
        <w:rPr>
          <w:rFonts w:hint="eastAsia" w:ascii="宋体" w:hAnsi="宋体" w:eastAsia="宋体" w:cs="宋体"/>
          <w:b/>
          <w:kern w:val="0"/>
          <w:sz w:val="28"/>
        </w:rPr>
      </w:pPr>
    </w:p>
    <w:p w14:paraId="05874314">
      <w:pPr>
        <w:widowControl/>
        <w:rPr>
          <w:rFonts w:hint="eastAsia" w:ascii="宋体" w:hAnsi="宋体" w:eastAsia="宋体" w:cs="宋体"/>
          <w:b/>
          <w:kern w:val="0"/>
          <w:sz w:val="28"/>
        </w:rPr>
      </w:pPr>
    </w:p>
    <w:p w14:paraId="7A93D04C">
      <w:pPr>
        <w:widowControl/>
        <w:rPr>
          <w:rFonts w:hint="eastAsia" w:ascii="宋体" w:hAnsi="宋体" w:eastAsia="宋体" w:cs="宋体"/>
          <w:b/>
          <w:kern w:val="0"/>
          <w:sz w:val="28"/>
        </w:rPr>
      </w:pPr>
    </w:p>
    <w:p w14:paraId="1FE560B2">
      <w:pPr>
        <w:widowControl/>
        <w:rPr>
          <w:rFonts w:hint="eastAsia" w:ascii="宋体" w:hAnsi="宋体" w:eastAsia="宋体" w:cs="宋体"/>
          <w:b/>
          <w:kern w:val="0"/>
          <w:sz w:val="28"/>
        </w:rPr>
      </w:pPr>
    </w:p>
    <w:p w14:paraId="630B2ADE">
      <w:pPr>
        <w:widowControl/>
        <w:rPr>
          <w:rFonts w:hint="eastAsia" w:ascii="宋体" w:hAnsi="宋体" w:eastAsia="宋体" w:cs="宋体"/>
          <w:b/>
          <w:kern w:val="0"/>
          <w:sz w:val="28"/>
        </w:rPr>
      </w:pPr>
    </w:p>
    <w:p w14:paraId="7910B067">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7D0CE71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4D97B86">
      <w:pPr>
        <w:jc w:val="center"/>
        <w:rPr>
          <w:rFonts w:hint="eastAsia" w:ascii="宋体" w:hAnsi="宋体" w:eastAsia="宋体" w:cs="宋体"/>
        </w:rPr>
      </w:pPr>
      <w:r>
        <w:rPr>
          <w:rFonts w:hint="eastAsia" w:ascii="宋体" w:hAnsi="宋体" w:eastAsia="宋体" w:cs="宋体"/>
          <w:bCs/>
          <w:kern w:val="0"/>
          <w:sz w:val="32"/>
          <w:szCs w:val="21"/>
        </w:rPr>
        <w:t>2025年3月17日</w:t>
      </w:r>
      <w:r>
        <w:rPr>
          <w:rFonts w:hint="eastAsia" w:ascii="宋体" w:hAnsi="宋体" w:eastAsia="宋体" w:cs="宋体"/>
          <w:b/>
          <w:color w:val="000000"/>
          <w:sz w:val="24"/>
          <w:szCs w:val="24"/>
        </w:rPr>
        <w:br w:type="page"/>
      </w:r>
    </w:p>
    <w:p w14:paraId="44483C2A">
      <w:pPr>
        <w:rPr>
          <w:rFonts w:hint="eastAsia" w:ascii="宋体" w:hAnsi="宋体" w:eastAsia="宋体" w:cs="宋体"/>
          <w:b/>
          <w:color w:val="000000"/>
          <w:sz w:val="24"/>
          <w:szCs w:val="24"/>
        </w:rPr>
      </w:pPr>
    </w:p>
    <w:p w14:paraId="4A1A75F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3DF97A74">
      <w:pPr>
        <w:jc w:val="center"/>
        <w:rPr>
          <w:rFonts w:hint="eastAsia" w:ascii="宋体" w:hAnsi="宋体" w:eastAsia="宋体" w:cs="宋体"/>
          <w:b/>
          <w:color w:val="000000"/>
          <w:sz w:val="24"/>
          <w:szCs w:val="24"/>
        </w:rPr>
      </w:pPr>
    </w:p>
    <w:p w14:paraId="11F02EFE">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1BDD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F309B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4046A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FB5478">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630AE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570A1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50CDC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53E27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C763BB">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2BA24733">
      <w:pPr>
        <w:spacing w:line="360" w:lineRule="auto"/>
        <w:rPr>
          <w:rFonts w:hint="eastAsia" w:ascii="宋体" w:hAnsi="宋体" w:eastAsia="宋体" w:cs="宋体"/>
          <w:color w:val="000000"/>
          <w:sz w:val="24"/>
          <w:szCs w:val="24"/>
        </w:rPr>
      </w:pPr>
    </w:p>
    <w:p w14:paraId="6499C49F">
      <w:pPr>
        <w:spacing w:line="360" w:lineRule="auto"/>
        <w:rPr>
          <w:rFonts w:hint="eastAsia" w:ascii="宋体" w:hAnsi="宋体" w:eastAsia="宋体" w:cs="宋体"/>
          <w:color w:val="000000"/>
          <w:sz w:val="24"/>
          <w:szCs w:val="24"/>
        </w:rPr>
      </w:pPr>
    </w:p>
    <w:p w14:paraId="5772806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197D699">
      <w:pPr>
        <w:pStyle w:val="4"/>
        <w:keepLines/>
        <w:ind w:left="720" w:hanging="720"/>
        <w:jc w:val="center"/>
        <w:rPr>
          <w:rFonts w:hint="eastAsia" w:ascii="宋体" w:hAnsi="宋体" w:eastAsia="宋体" w:cs="宋体"/>
          <w:color w:val="000000"/>
          <w:sz w:val="32"/>
          <w:u w:val="none"/>
        </w:rPr>
      </w:pPr>
      <w:bookmarkStart w:id="2" w:name="_Toc31977"/>
      <w:r>
        <w:rPr>
          <w:rFonts w:ascii="宋体" w:hAnsi="宋体" w:eastAsia="宋体" w:cs="宋体"/>
          <w:color w:val="000000"/>
          <w:sz w:val="32"/>
          <w:u w:val="none"/>
        </w:rPr>
        <w:t>一、</w:t>
      </w:r>
      <w:r>
        <w:rPr>
          <w:rFonts w:hint="eastAsia" w:ascii="宋体" w:hAnsi="宋体" w:eastAsia="宋体" w:cs="宋体"/>
          <w:color w:val="000000"/>
          <w:sz w:val="32"/>
          <w:u w:val="none"/>
        </w:rPr>
        <w:t>询价公告</w:t>
      </w:r>
      <w:bookmarkEnd w:id="2"/>
    </w:p>
    <w:p w14:paraId="1D5A1D27">
      <w:pPr>
        <w:spacing w:line="360" w:lineRule="auto"/>
        <w:rPr>
          <w:rFonts w:hint="eastAsia" w:ascii="宋体" w:hAnsi="宋体" w:eastAsia="宋体" w:cs="宋体"/>
          <w:color w:val="000000"/>
          <w:sz w:val="24"/>
          <w:szCs w:val="24"/>
          <w:u w:val="none"/>
        </w:rPr>
      </w:pPr>
    </w:p>
    <w:p w14:paraId="13A77C74">
      <w:pPr>
        <w:pStyle w:val="88"/>
        <w:keepNext w:val="0"/>
        <w:keepLines w:val="0"/>
        <w:pageBreakBefore w:val="0"/>
        <w:widowControl w:val="0"/>
        <w:kinsoku/>
        <w:wordWrap/>
        <w:overflowPunct/>
        <w:autoSpaceDE w:val="0"/>
        <w:autoSpaceDN w:val="0"/>
        <w:bidi w:val="0"/>
        <w:adjustRightInd w:val="0"/>
        <w:snapToGrid w:val="0"/>
        <w:spacing w:before="0" w:after="0" w:line="360" w:lineRule="auto"/>
        <w:ind w:firstLine="480" w:firstLineChars="200"/>
        <w:jc w:val="both"/>
        <w:textAlignment w:val="auto"/>
        <w:rPr>
          <w:rFonts w:hint="eastAsia" w:ascii="宋体" w:hAnsi="宋体" w:eastAsia="宋体" w:cs="宋体"/>
          <w:szCs w:val="24"/>
          <w:u w:val="none"/>
        </w:rPr>
      </w:pPr>
      <w:bookmarkStart w:id="3" w:name="_Toc15035054"/>
      <w:r>
        <w:rPr>
          <w:rFonts w:hint="eastAsia" w:ascii="宋体" w:hAnsi="宋体" w:eastAsia="宋体" w:cs="宋体"/>
          <w:szCs w:val="24"/>
          <w:u w:val="none"/>
        </w:rPr>
        <w:t>根据采购需求，合肥综合性科学中心环境研究院对</w:t>
      </w:r>
      <w:r>
        <w:rPr>
          <w:rFonts w:hint="eastAsia" w:ascii="宋体" w:hAnsi="宋体" w:eastAsia="宋体" w:cs="宋体"/>
          <w:spacing w:val="-2"/>
          <w:szCs w:val="24"/>
          <w:u w:val="none"/>
        </w:rPr>
        <w:t>“顶空气相色谱仪设备采购”项目</w:t>
      </w:r>
      <w:r>
        <w:rPr>
          <w:rFonts w:hint="eastAsia" w:ascii="宋体" w:hAnsi="宋体" w:eastAsia="宋体" w:cs="宋体"/>
          <w:szCs w:val="24"/>
          <w:u w:val="none"/>
        </w:rPr>
        <w:t>进行询价采购，欢迎具备条件的供应商参加报价。</w:t>
      </w:r>
    </w:p>
    <w:bookmarkEnd w:id="3"/>
    <w:p w14:paraId="72ED9731">
      <w:pPr>
        <w:keepNext w:val="0"/>
        <w:keepLines w:val="0"/>
        <w:pageBreakBefore w:val="0"/>
        <w:widowControl w:val="0"/>
        <w:kinsoku/>
        <w:wordWrap/>
        <w:overflowPunct/>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一、项目名称及内容</w:t>
      </w:r>
    </w:p>
    <w:p w14:paraId="44283C0A">
      <w:pPr>
        <w:keepNext w:val="0"/>
        <w:keepLines w:val="0"/>
        <w:pageBreakBefore w:val="0"/>
        <w:widowControl w:val="0"/>
        <w:kinsoku/>
        <w:wordWrap/>
        <w:overflow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u w:val="none"/>
        </w:rPr>
        <w:t>1、采购人名称：合肥综合性科学中心环境研究院</w:t>
      </w:r>
    </w:p>
    <w:p w14:paraId="0797327F">
      <w:pPr>
        <w:keepNext w:val="0"/>
        <w:keepLines w:val="0"/>
        <w:pageBreakBefore w:val="0"/>
        <w:widowControl w:val="0"/>
        <w:kinsoku/>
        <w:wordWrap/>
        <w:overflow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u w:val="none"/>
        </w:rPr>
        <w:t>2、采购人地址：</w:t>
      </w:r>
      <w:r>
        <w:rPr>
          <w:rFonts w:hint="eastAsia" w:ascii="宋体" w:hAnsi="宋体" w:eastAsia="宋体" w:cs="宋体"/>
          <w:sz w:val="24"/>
          <w:szCs w:val="24"/>
          <w:u w:val="none"/>
        </w:rPr>
        <w:t>合肥蜀山经济技术开发区电商园四期E栋</w:t>
      </w:r>
    </w:p>
    <w:p w14:paraId="7D7C06CF">
      <w:pPr>
        <w:keepNext w:val="0"/>
        <w:keepLines w:val="0"/>
        <w:pageBreakBefore w:val="0"/>
        <w:widowControl w:val="0"/>
        <w:kinsoku/>
        <w:wordWrap/>
        <w:overflow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yellow"/>
          <w:u w:val="none"/>
        </w:rPr>
      </w:pPr>
      <w:r>
        <w:rPr>
          <w:rFonts w:hint="eastAsia" w:ascii="宋体" w:hAnsi="宋体" w:eastAsia="宋体" w:cs="宋体"/>
          <w:kern w:val="0"/>
          <w:sz w:val="24"/>
          <w:szCs w:val="24"/>
          <w:u w:val="none"/>
        </w:rPr>
        <w:t>3、项目名称：顶空气相色谱仪设备采购</w:t>
      </w:r>
    </w:p>
    <w:p w14:paraId="77258EDE">
      <w:pPr>
        <w:keepNext w:val="0"/>
        <w:keepLines w:val="0"/>
        <w:pageBreakBefore w:val="0"/>
        <w:widowControl w:val="0"/>
        <w:kinsoku/>
        <w:wordWrap/>
        <w:overflow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u w:val="none"/>
        </w:rPr>
        <w:t>4、采购内容：顶空气相色谱仪设备采购，具体详见采购需求。</w:t>
      </w:r>
    </w:p>
    <w:p w14:paraId="48B432A0">
      <w:pPr>
        <w:keepNext w:val="0"/>
        <w:keepLines w:val="0"/>
        <w:pageBreakBefore w:val="0"/>
        <w:widowControl w:val="0"/>
        <w:kinsoku/>
        <w:wordWrap/>
        <w:overflowPunct/>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u w:val="none"/>
        </w:rPr>
        <w:t>5、项目地点：合肥蜀山经济技术开发区电商园四期E栋，具体以采购人指定地点为准。</w:t>
      </w:r>
    </w:p>
    <w:p w14:paraId="4EEE4675">
      <w:pPr>
        <w:keepNext w:val="0"/>
        <w:keepLines w:val="0"/>
        <w:pageBreakBefore w:val="0"/>
        <w:widowControl w:val="0"/>
        <w:kinsoku/>
        <w:wordWrap/>
        <w:overflowPunct/>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二、参与方式</w:t>
      </w:r>
    </w:p>
    <w:p w14:paraId="7A4CF3D0">
      <w:pPr>
        <w:keepNext w:val="0"/>
        <w:keepLines w:val="0"/>
        <w:pageBreakBefore w:val="0"/>
        <w:widowControl w:val="0"/>
        <w:kinsoku/>
        <w:wordWrap/>
        <w:overflowPunct/>
        <w:bidi w:val="0"/>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1、采购文件获取：供应商从合肥综合性科学中心环境研究院官网采购专栏（http://www.hfioe.cn/?c=36）自行下载采购文件。</w:t>
      </w:r>
    </w:p>
    <w:p w14:paraId="0DCC80AC">
      <w:pPr>
        <w:pStyle w:val="15"/>
        <w:keepNext w:val="0"/>
        <w:keepLines w:val="0"/>
        <w:pageBreakBefore w:val="0"/>
        <w:widowControl w:val="0"/>
        <w:kinsoku/>
        <w:wordWrap/>
        <w:overflowPunct/>
        <w:bidi w:val="0"/>
        <w:spacing w:line="360" w:lineRule="auto"/>
        <w:ind w:left="216" w:leftChars="103"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2、</w:t>
      </w:r>
      <w:r>
        <w:rPr>
          <w:rFonts w:hint="eastAsia" w:hAnsi="宋体" w:eastAsia="宋体" w:cs="宋体"/>
          <w:b/>
          <w:bCs/>
          <w:sz w:val="24"/>
          <w:szCs w:val="24"/>
          <w:u w:val="none"/>
        </w:rPr>
        <w:t>响应文件递交截止时间：</w:t>
      </w:r>
      <w:r>
        <w:rPr>
          <w:rFonts w:hint="eastAsia" w:hAnsi="宋体" w:eastAsia="宋体" w:cs="宋体"/>
          <w:sz w:val="24"/>
          <w:szCs w:val="24"/>
          <w:u w:val="none"/>
        </w:rPr>
        <w:t>2025年3月20日15：00（北京时间）</w:t>
      </w:r>
    </w:p>
    <w:p w14:paraId="21B61882">
      <w:pPr>
        <w:pStyle w:val="15"/>
        <w:keepNext w:val="0"/>
        <w:keepLines w:val="0"/>
        <w:pageBreakBefore w:val="0"/>
        <w:widowControl w:val="0"/>
        <w:kinsoku/>
        <w:wordWrap/>
        <w:overflowPunct/>
        <w:bidi w:val="0"/>
        <w:adjustRightInd w:val="0"/>
        <w:snapToGrid w:val="0"/>
        <w:spacing w:line="360" w:lineRule="auto"/>
        <w:ind w:left="216" w:leftChars="103"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3、响应文件递交：</w:t>
      </w:r>
    </w:p>
    <w:p w14:paraId="146291E8">
      <w:pPr>
        <w:pStyle w:val="15"/>
        <w:keepNext w:val="0"/>
        <w:keepLines w:val="0"/>
        <w:pageBreakBefore w:val="0"/>
        <w:widowControl w:val="0"/>
        <w:kinsoku/>
        <w:wordWrap/>
        <w:overflowPunct/>
        <w:bidi w:val="0"/>
        <w:adjustRightInd w:val="0"/>
        <w:snapToGrid w:val="0"/>
        <w:spacing w:line="360" w:lineRule="auto"/>
        <w:ind w:left="216" w:leftChars="103"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递交地点：合肥市蜀山区湖光路电商园四期E栋10楼1003室</w:t>
      </w:r>
    </w:p>
    <w:p w14:paraId="374519F5">
      <w:pPr>
        <w:pStyle w:val="15"/>
        <w:keepNext w:val="0"/>
        <w:keepLines w:val="0"/>
        <w:pageBreakBefore w:val="0"/>
        <w:widowControl w:val="0"/>
        <w:kinsoku/>
        <w:wordWrap/>
        <w:overflowPunct/>
        <w:bidi w:val="0"/>
        <w:adjustRightInd w:val="0"/>
        <w:snapToGrid w:val="0"/>
        <w:spacing w:line="360" w:lineRule="auto"/>
        <w:ind w:left="216" w:leftChars="103"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 xml:space="preserve">递交方式：响应人将密封完好的响应文件送达至或邮递至指定地点 </w:t>
      </w:r>
    </w:p>
    <w:p w14:paraId="3A82C7B4">
      <w:pPr>
        <w:pStyle w:val="15"/>
        <w:keepNext w:val="0"/>
        <w:keepLines w:val="0"/>
        <w:pageBreakBefore w:val="0"/>
        <w:widowControl w:val="0"/>
        <w:kinsoku/>
        <w:wordWrap/>
        <w:overflowPunct/>
        <w:bidi w:val="0"/>
        <w:adjustRightInd w:val="0"/>
        <w:snapToGrid w:val="0"/>
        <w:spacing w:line="360" w:lineRule="auto"/>
        <w:ind w:left="216" w:leftChars="103" w:firstLine="482" w:firstLineChars="200"/>
        <w:textAlignment w:val="auto"/>
        <w:rPr>
          <w:rFonts w:hint="eastAsia" w:hAnsi="宋体" w:eastAsia="宋体" w:cs="宋体"/>
          <w:b/>
          <w:bCs/>
          <w:sz w:val="24"/>
          <w:szCs w:val="24"/>
          <w:u w:val="none"/>
        </w:rPr>
      </w:pPr>
      <w:r>
        <w:rPr>
          <w:rFonts w:hint="eastAsia" w:hAnsi="宋体" w:eastAsia="宋体" w:cs="宋体"/>
          <w:b/>
          <w:sz w:val="24"/>
          <w:szCs w:val="24"/>
          <w:u w:val="none"/>
        </w:rPr>
        <w:t>备注</w:t>
      </w:r>
      <w:r>
        <w:rPr>
          <w:rFonts w:hint="eastAsia" w:hAnsi="宋体" w:eastAsia="宋体" w:cs="宋体"/>
          <w:sz w:val="24"/>
          <w:szCs w:val="24"/>
          <w:u w:val="none"/>
        </w:rPr>
        <w:t>：逾期送达的或未送达指定地点的响应文件，采购人不予接收</w:t>
      </w:r>
    </w:p>
    <w:p w14:paraId="770C58D7">
      <w:pPr>
        <w:keepNext w:val="0"/>
        <w:keepLines w:val="0"/>
        <w:pageBreakBefore w:val="0"/>
        <w:widowControl w:val="0"/>
        <w:kinsoku/>
        <w:wordWrap/>
        <w:overflowPunct/>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w:t>
      </w:r>
      <w:bookmarkStart w:id="4" w:name="_Toc15035055"/>
      <w:r>
        <w:rPr>
          <w:rFonts w:hint="eastAsia" w:ascii="宋体" w:hAnsi="宋体" w:eastAsia="宋体" w:cs="宋体"/>
          <w:b/>
          <w:bCs/>
          <w:sz w:val="24"/>
          <w:szCs w:val="24"/>
          <w:u w:val="none"/>
        </w:rPr>
        <w:t>供应商资格要求</w:t>
      </w:r>
      <w:bookmarkEnd w:id="4"/>
    </w:p>
    <w:p w14:paraId="732DEF38">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1.满足《中华人民共和国政府采购法》第二十二条规定；</w:t>
      </w:r>
    </w:p>
    <w:p w14:paraId="4AC05B77">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2.本项目的特定资格要求：无；</w:t>
      </w:r>
    </w:p>
    <w:p w14:paraId="13535881">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3.单位负责人为同一人或者存在直接控股、管理关系的不同投标人，不得参加同一合同项下的采购活动；</w:t>
      </w:r>
    </w:p>
    <w:p w14:paraId="454C5058">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4.截至提交投标文件截止时间，投标人（不含其不具有独立法人资格的分支机构）存在下列有效情形之一的，其投标文件按无效处理。</w:t>
      </w:r>
    </w:p>
    <w:p w14:paraId="2C67203E">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（1）被人民法院列入失信被执行人名单的；</w:t>
      </w:r>
    </w:p>
    <w:p w14:paraId="5A9FC3F1">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（2）被税务机关列入重大税收违法案件当事人名单的；</w:t>
      </w:r>
    </w:p>
    <w:p w14:paraId="68C5198D">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（3）被财政部门列入政府采购严重违法失信名单的；</w:t>
      </w:r>
    </w:p>
    <w:p w14:paraId="02BE9F97">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bCs/>
          <w:sz w:val="24"/>
          <w:szCs w:val="24"/>
          <w:u w:val="none"/>
        </w:rPr>
      </w:pPr>
      <w:r>
        <w:rPr>
          <w:rFonts w:hint="eastAsia" w:ascii="宋体" w:hAnsi="宋体" w:eastAsia="宋体" w:cs="宋体"/>
          <w:bCs/>
          <w:sz w:val="24"/>
          <w:szCs w:val="24"/>
          <w:u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pPr>
        <w:keepNext w:val="0"/>
        <w:keepLines w:val="0"/>
        <w:pageBreakBefore w:val="0"/>
        <w:widowControl w:val="0"/>
        <w:kinsoku/>
        <w:wordWrap/>
        <w:overflowPunct/>
        <w:autoSpaceDE w:val="0"/>
        <w:autoSpaceDN w:val="0"/>
        <w:bidi w:val="0"/>
        <w:adjustRightInd w:val="0"/>
        <w:snapToGrid w:val="0"/>
        <w:spacing w:line="360" w:lineRule="auto"/>
        <w:ind w:firstLine="480" w:firstLineChars="200"/>
        <w:textAlignment w:val="auto"/>
        <w:outlineLvl w:val="1"/>
        <w:rPr>
          <w:rFonts w:hint="eastAsia" w:ascii="宋体" w:hAnsi="宋体" w:eastAsia="宋体" w:cs="宋体"/>
          <w:sz w:val="24"/>
          <w:szCs w:val="24"/>
          <w:u w:val="none"/>
        </w:rPr>
      </w:pPr>
      <w:r>
        <w:rPr>
          <w:rFonts w:hint="eastAsia" w:ascii="宋体" w:hAnsi="宋体" w:eastAsia="宋体" w:cs="宋体"/>
          <w:bCs/>
          <w:sz w:val="24"/>
          <w:szCs w:val="24"/>
          <w:u w:val="none"/>
        </w:rPr>
        <w:t>5.本项目不接受联合体响应。</w:t>
      </w:r>
    </w:p>
    <w:p w14:paraId="0E20B5AF">
      <w:pPr>
        <w:keepNext w:val="0"/>
        <w:keepLines w:val="0"/>
        <w:pageBreakBefore w:val="0"/>
        <w:widowControl w:val="0"/>
        <w:kinsoku/>
        <w:wordWrap/>
        <w:overflowPunct/>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四、联系方式</w:t>
      </w:r>
      <w:bookmarkStart w:id="39" w:name="_GoBack"/>
      <w:bookmarkEnd w:id="39"/>
    </w:p>
    <w:p w14:paraId="1E1FC493">
      <w:pPr>
        <w:keepNext w:val="0"/>
        <w:keepLines w:val="0"/>
        <w:pageBreakBefore w:val="0"/>
        <w:widowControl w:val="0"/>
        <w:kinsoku/>
        <w:wordWrap/>
        <w:overflowPunct/>
        <w:topLinePunct/>
        <w:bidi w:val="0"/>
        <w:adjustRightInd w:val="0"/>
        <w:snapToGrid w:val="0"/>
        <w:spacing w:line="360" w:lineRule="auto"/>
        <w:ind w:firstLine="480" w:firstLineChars="200"/>
        <w:textAlignment w:val="auto"/>
        <w:rPr>
          <w:rFonts w:hint="eastAsia" w:ascii="宋体" w:hAnsi="宋体" w:eastAsia="宋体" w:cs="宋体"/>
          <w:sz w:val="24"/>
          <w:szCs w:val="24"/>
          <w:highlight w:val="yellow"/>
          <w:u w:val="none"/>
        </w:rPr>
      </w:pPr>
      <w:r>
        <w:rPr>
          <w:rFonts w:hint="eastAsia" w:ascii="宋体" w:hAnsi="宋体" w:eastAsia="宋体" w:cs="宋体"/>
          <w:sz w:val="24"/>
          <w:szCs w:val="24"/>
          <w:u w:val="none"/>
        </w:rPr>
        <w:t>联系人： 熊老师</w:t>
      </w:r>
    </w:p>
    <w:p w14:paraId="6DC16043">
      <w:pPr>
        <w:keepNext w:val="0"/>
        <w:keepLines w:val="0"/>
        <w:pageBreakBefore w:val="0"/>
        <w:widowControl w:val="0"/>
        <w:kinsoku/>
        <w:wordWrap/>
        <w:overflowPunct/>
        <w:topLinePunct/>
        <w:bidi w:val="0"/>
        <w:adjustRightInd w:val="0"/>
        <w:snapToGrid w:val="0"/>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联系电话： 17805653127  </w:t>
      </w:r>
    </w:p>
    <w:p w14:paraId="525BA714">
      <w:pPr>
        <w:pStyle w:val="15"/>
        <w:keepNext w:val="0"/>
        <w:keepLines w:val="0"/>
        <w:pageBreakBefore w:val="0"/>
        <w:widowControl w:val="0"/>
        <w:kinsoku/>
        <w:wordWrap/>
        <w:overflowPunct/>
        <w:bidi w:val="0"/>
        <w:adjustRightInd w:val="0"/>
        <w:snapToGrid w:val="0"/>
        <w:spacing w:line="360" w:lineRule="auto"/>
        <w:ind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 xml:space="preserve">电子邮箱： </w:t>
      </w:r>
      <w:r>
        <w:rPr>
          <w:u w:val="none"/>
        </w:rPr>
        <w:fldChar w:fldCharType="begin"/>
      </w:r>
      <w:r>
        <w:rPr>
          <w:u w:val="none"/>
        </w:rPr>
        <w:instrText xml:space="preserve"> HYPERLINK "mailto:634206667@qq.com" </w:instrText>
      </w:r>
      <w:r>
        <w:rPr>
          <w:u w:val="none"/>
        </w:rPr>
        <w:fldChar w:fldCharType="separate"/>
      </w:r>
      <w:r>
        <w:rPr>
          <w:rStyle w:val="35"/>
          <w:rFonts w:hint="eastAsia" w:hAnsi="宋体" w:eastAsia="宋体" w:cs="宋体"/>
          <w:color w:val="auto"/>
          <w:sz w:val="24"/>
          <w:szCs w:val="24"/>
          <w:u w:val="none"/>
        </w:rPr>
        <w:t>634206667@</w:t>
      </w:r>
      <w:r>
        <w:rPr>
          <w:rStyle w:val="35"/>
          <w:rFonts w:hAnsi="宋体" w:eastAsia="宋体" w:cs="宋体"/>
          <w:color w:val="auto"/>
          <w:sz w:val="24"/>
          <w:szCs w:val="24"/>
          <w:u w:val="none"/>
        </w:rPr>
        <w:t>qq</w:t>
      </w:r>
      <w:r>
        <w:rPr>
          <w:rStyle w:val="35"/>
          <w:rFonts w:hint="eastAsia" w:hAnsi="宋体" w:eastAsia="宋体" w:cs="宋体"/>
          <w:color w:val="auto"/>
          <w:sz w:val="24"/>
          <w:szCs w:val="24"/>
          <w:u w:val="none"/>
        </w:rPr>
        <w:t>.com</w:t>
      </w:r>
      <w:r>
        <w:rPr>
          <w:rStyle w:val="35"/>
          <w:rFonts w:hint="eastAsia" w:hAnsi="宋体" w:eastAsia="宋体" w:cs="宋体"/>
          <w:color w:val="auto"/>
          <w:sz w:val="24"/>
          <w:szCs w:val="24"/>
          <w:u w:val="none"/>
        </w:rPr>
        <w:fldChar w:fldCharType="end"/>
      </w:r>
      <w:r>
        <w:rPr>
          <w:rFonts w:hint="eastAsia" w:hAnsi="宋体" w:eastAsia="宋体" w:cs="宋体"/>
          <w:sz w:val="24"/>
          <w:szCs w:val="24"/>
          <w:u w:val="none"/>
        </w:rPr>
        <w:t xml:space="preserve"> </w:t>
      </w:r>
    </w:p>
    <w:p w14:paraId="34CCB80F">
      <w:pPr>
        <w:keepNext w:val="0"/>
        <w:keepLines w:val="0"/>
        <w:pageBreakBefore w:val="0"/>
        <w:widowControl w:val="0"/>
        <w:kinsoku/>
        <w:wordWrap/>
        <w:overflowPunct/>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五、评审办法：</w:t>
      </w:r>
    </w:p>
    <w:p w14:paraId="3960F440">
      <w:pPr>
        <w:pStyle w:val="15"/>
        <w:keepNext w:val="0"/>
        <w:keepLines w:val="0"/>
        <w:pageBreakBefore w:val="0"/>
        <w:widowControl w:val="0"/>
        <w:kinsoku/>
        <w:wordWrap/>
        <w:overflowPunct/>
        <w:bidi w:val="0"/>
        <w:adjustRightInd w:val="0"/>
        <w:snapToGrid w:val="0"/>
        <w:spacing w:line="360" w:lineRule="auto"/>
        <w:ind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经评审最低价法。</w:t>
      </w:r>
    </w:p>
    <w:p w14:paraId="39303D0D">
      <w:pPr>
        <w:keepNext w:val="0"/>
        <w:keepLines w:val="0"/>
        <w:pageBreakBefore w:val="0"/>
        <w:widowControl w:val="0"/>
        <w:kinsoku/>
        <w:wordWrap/>
        <w:overflowPunct/>
        <w:autoSpaceDE w:val="0"/>
        <w:autoSpaceDN w:val="0"/>
        <w:bidi w:val="0"/>
        <w:adjustRightInd w:val="0"/>
        <w:snapToGrid w:val="0"/>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六、其他事项说明</w:t>
      </w:r>
    </w:p>
    <w:p w14:paraId="420F693A">
      <w:pPr>
        <w:pStyle w:val="15"/>
        <w:keepNext w:val="0"/>
        <w:keepLines w:val="0"/>
        <w:pageBreakBefore w:val="0"/>
        <w:widowControl w:val="0"/>
        <w:kinsoku/>
        <w:wordWrap/>
        <w:overflowPunct/>
        <w:bidi w:val="0"/>
        <w:adjustRightInd w:val="0"/>
        <w:snapToGrid w:val="0"/>
        <w:spacing w:line="360" w:lineRule="auto"/>
        <w:ind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1、响应人在采购响应过程中有任何疑问或问题，请直接与联系人联系。</w:t>
      </w:r>
    </w:p>
    <w:p w14:paraId="0E6DDF27">
      <w:pPr>
        <w:pStyle w:val="15"/>
        <w:keepNext w:val="0"/>
        <w:keepLines w:val="0"/>
        <w:pageBreakBefore w:val="0"/>
        <w:widowControl w:val="0"/>
        <w:kinsoku/>
        <w:wordWrap/>
        <w:overflowPunct/>
        <w:bidi w:val="0"/>
        <w:adjustRightInd w:val="0"/>
        <w:snapToGrid w:val="0"/>
        <w:spacing w:line="360" w:lineRule="auto"/>
        <w:ind w:firstLine="480" w:firstLineChars="200"/>
        <w:textAlignment w:val="auto"/>
        <w:rPr>
          <w:rFonts w:hint="eastAsia" w:hAnsi="宋体" w:eastAsia="宋体" w:cs="宋体"/>
          <w:sz w:val="24"/>
          <w:szCs w:val="24"/>
          <w:u w:val="none"/>
        </w:rPr>
      </w:pPr>
      <w:r>
        <w:rPr>
          <w:rFonts w:hint="eastAsia" w:hAnsi="宋体" w:eastAsia="宋体" w:cs="宋体"/>
          <w:sz w:val="24"/>
          <w:szCs w:val="24"/>
          <w:u w:val="none"/>
        </w:rPr>
        <w:t>2、请响应人于</w:t>
      </w:r>
      <w:r>
        <w:rPr>
          <w:rFonts w:hint="eastAsia" w:hAnsi="宋体" w:eastAsia="宋体" w:cs="宋体"/>
          <w:b/>
          <w:bCs/>
          <w:sz w:val="24"/>
          <w:szCs w:val="24"/>
          <w:u w:val="none"/>
        </w:rPr>
        <w:t>响应文件递交截止时间</w:t>
      </w:r>
      <w:r>
        <w:rPr>
          <w:rFonts w:hint="eastAsia" w:hAnsi="宋体" w:eastAsia="宋体" w:cs="宋体"/>
          <w:sz w:val="24"/>
          <w:szCs w:val="24"/>
          <w:u w:val="none"/>
        </w:rPr>
        <w:t>前，将密封完好的响应文件送达至或邮递至指定地点 ，</w:t>
      </w:r>
      <w:r>
        <w:rPr>
          <w:rFonts w:hint="eastAsia" w:hAnsi="宋体" w:eastAsia="宋体" w:cs="宋体"/>
          <w:b/>
          <w:sz w:val="24"/>
          <w:szCs w:val="24"/>
          <w:u w:val="none"/>
        </w:rPr>
        <w:t>逾期将不予接收</w:t>
      </w:r>
      <w:r>
        <w:rPr>
          <w:rFonts w:hint="eastAsia" w:hAnsi="宋体" w:eastAsia="宋体" w:cs="宋体"/>
          <w:sz w:val="24"/>
          <w:szCs w:val="24"/>
          <w:u w:val="none"/>
        </w:rPr>
        <w:t>。</w:t>
      </w:r>
    </w:p>
    <w:p w14:paraId="3CDC55B0">
      <w:pPr>
        <w:spacing w:line="360" w:lineRule="auto"/>
        <w:rPr>
          <w:rFonts w:hint="eastAsia" w:ascii="宋体" w:hAnsi="宋体" w:eastAsia="宋体" w:cs="宋体"/>
          <w:color w:val="000000"/>
          <w:sz w:val="24"/>
          <w:szCs w:val="24"/>
          <w:u w:val="none"/>
        </w:rPr>
      </w:pPr>
    </w:p>
    <w:p w14:paraId="2DFB8086">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1CF28139">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087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6E882BC">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19ED804C">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28D1C3C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D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60D3D2">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397B60EE">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1CDB09E3">
            <w:pPr>
              <w:spacing w:line="440" w:lineRule="exact"/>
              <w:jc w:val="left"/>
              <w:rPr>
                <w:rFonts w:hint="eastAsia" w:ascii="宋体" w:hAnsi="宋体" w:eastAsia="宋体" w:cs="宋体"/>
                <w:sz w:val="24"/>
              </w:rPr>
            </w:pPr>
            <w:r>
              <w:rPr>
                <w:rFonts w:hint="eastAsia" w:ascii="宋体" w:hAnsi="宋体" w:eastAsia="宋体" w:cs="宋体"/>
                <w:kern w:val="0"/>
                <w:sz w:val="24"/>
                <w:szCs w:val="24"/>
              </w:rPr>
              <w:t>顶空气相色谱仪设备采购</w:t>
            </w:r>
          </w:p>
        </w:tc>
      </w:tr>
      <w:tr w14:paraId="3E4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533FF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D65D8F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039CA4B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B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6861C0">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1CE35521">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4E107DD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BD26A">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3E27EE3E">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E7EF5C1">
            <w:pPr>
              <w:spacing w:line="440" w:lineRule="exact"/>
              <w:jc w:val="left"/>
              <w:rPr>
                <w:rFonts w:hint="eastAsia" w:ascii="宋体" w:hAnsi="宋体" w:eastAsia="宋体" w:cs="宋体"/>
                <w:sz w:val="24"/>
              </w:rPr>
            </w:pPr>
            <w:r>
              <w:rPr>
                <w:rFonts w:ascii="宋体" w:hAnsi="宋体" w:eastAsia="宋体" w:cs="宋体"/>
                <w:sz w:val="24"/>
              </w:rPr>
              <w:t>19.</w:t>
            </w:r>
            <w:r>
              <w:rPr>
                <w:rFonts w:hint="eastAsia" w:ascii="宋体" w:hAnsi="宋体" w:eastAsia="宋体" w:cs="宋体"/>
                <w:sz w:val="24"/>
              </w:rPr>
              <w:t>0</w:t>
            </w:r>
            <w:r>
              <w:rPr>
                <w:rFonts w:ascii="宋体" w:hAnsi="宋体" w:eastAsia="宋体" w:cs="宋体"/>
                <w:sz w:val="24"/>
              </w:rPr>
              <w:t>0</w:t>
            </w:r>
            <w:r>
              <w:rPr>
                <w:rFonts w:hint="eastAsia" w:ascii="宋体" w:hAnsi="宋体" w:eastAsia="宋体" w:cs="宋体"/>
                <w:sz w:val="24"/>
              </w:rPr>
              <w:t>万元</w:t>
            </w:r>
          </w:p>
        </w:tc>
      </w:tr>
      <w:tr w14:paraId="621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3C7922">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11E603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EDE7987">
            <w:pPr>
              <w:spacing w:line="440" w:lineRule="exact"/>
              <w:rPr>
                <w:rFonts w:hint="eastAsia" w:ascii="宋体" w:hAnsi="宋体" w:eastAsia="宋体" w:cs="宋体"/>
                <w:sz w:val="24"/>
              </w:rPr>
            </w:pPr>
            <w:r>
              <w:rPr>
                <w:rFonts w:hint="eastAsia" w:ascii="宋体" w:hAnsi="宋体" w:eastAsia="宋体" w:cs="宋体"/>
                <w:sz w:val="24"/>
              </w:rPr>
              <w:t>合同签订后，接采购人通知15日历天内完成交货、安装、调试、验收合格并交付使用。</w:t>
            </w:r>
          </w:p>
        </w:tc>
      </w:tr>
      <w:tr w14:paraId="431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038193">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0D5F8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411873EE">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合肥市蜀山区湖光路电商园四期E楼1003</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1AAD7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BAF03FC">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86EF345">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CF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8811A">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C825E6C">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6974E44">
            <w:pPr>
              <w:spacing w:line="440" w:lineRule="exact"/>
              <w:rPr>
                <w:rFonts w:hint="eastAsia" w:ascii="宋体" w:hAnsi="宋体" w:eastAsia="宋体" w:cs="宋体"/>
                <w:sz w:val="24"/>
              </w:rPr>
            </w:pPr>
            <w:r>
              <w:rPr>
                <w:rFonts w:hint="eastAsia" w:ascii="宋体" w:hAnsi="宋体" w:eastAsia="宋体" w:cs="宋体"/>
                <w:sz w:val="24"/>
              </w:rPr>
              <w:t>合同签订后支付签约合同价的50%，货物送至采购人指定地点并安装调试完成，经采购人验收合格后支付签约合同价的47%；余款3%作为质量保证金，质保期（1年）满后一次性付清尾款。</w:t>
            </w:r>
          </w:p>
        </w:tc>
      </w:tr>
      <w:tr w14:paraId="5DC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B5623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6A8E91">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262EBDB">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8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C2DE5">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D577973">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CBC5E4C">
            <w:pPr>
              <w:spacing w:line="440" w:lineRule="exact"/>
              <w:rPr>
                <w:rFonts w:hint="eastAsia" w:ascii="宋体" w:hAnsi="宋体" w:eastAsia="宋体" w:cs="宋体"/>
                <w:sz w:val="24"/>
              </w:rPr>
            </w:pPr>
            <w:r>
              <w:rPr>
                <w:rFonts w:hint="eastAsia" w:ascii="宋体" w:hAnsi="宋体" w:eastAsia="宋体" w:cs="宋体"/>
                <w:sz w:val="24"/>
              </w:rPr>
              <w:t>无</w:t>
            </w:r>
          </w:p>
        </w:tc>
      </w:tr>
      <w:tr w14:paraId="24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38912">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3373619">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2948B04C">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9D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F52FB6">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3DB6E5C5">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3BAC87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3E1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87F64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A068CE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AD8CFB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ED3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B25BF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539C56D">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2399B95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11E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FBAD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EFFE399">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5548D5A">
            <w:pPr>
              <w:spacing w:line="440" w:lineRule="exact"/>
              <w:rPr>
                <w:rFonts w:hint="eastAsia" w:ascii="宋体" w:hAnsi="宋体" w:eastAsia="宋体" w:cs="宋体"/>
                <w:sz w:val="24"/>
              </w:rPr>
            </w:pPr>
            <w:r>
              <w:rPr>
                <w:rFonts w:hint="eastAsia" w:ascii="宋体" w:hAnsi="宋体" w:eastAsia="宋体" w:cs="宋体"/>
                <w:sz w:val="24"/>
              </w:rPr>
              <w:t>否</w:t>
            </w:r>
          </w:p>
        </w:tc>
      </w:tr>
      <w:tr w14:paraId="3DA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5963D6">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4A5F02E">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5BB11E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DA8209">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0B1916B">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1157803">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D9CA7B0">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sz w:val="24"/>
              </w:rPr>
              <w:t>。</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5374AE">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9582E6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AA688C3">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054084">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D2F527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1F3E06D">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DD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5534D6">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2453035F">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1567BDB2">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1003室</w:t>
            </w:r>
          </w:p>
        </w:tc>
      </w:tr>
      <w:tr w14:paraId="5D5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4756FF">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C0DEB3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05E622">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D10F62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7CA6EE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60F8496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25CE4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4EE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A3BB7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CF487F4">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5B735E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5169229B">
      <w:pPr>
        <w:pStyle w:val="77"/>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5B8C47CC">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7FF5343">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732FC18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3772DA9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7238F14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1CAEE63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C80096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6D0C32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150AFC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66D97F4B">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C3D6112">
      <w:pPr>
        <w:pStyle w:val="77"/>
        <w:ind w:firstLine="482" w:firstLineChars="200"/>
        <w:jc w:val="both"/>
        <w:rPr>
          <w:rFonts w:hint="eastAsia" w:cs="宋体"/>
          <w:color w:val="000000"/>
          <w:sz w:val="24"/>
          <w:szCs w:val="24"/>
        </w:rPr>
      </w:pPr>
      <w:bookmarkStart w:id="12" w:name="_Toc6091"/>
      <w:bookmarkStart w:id="13" w:name="_Toc30095"/>
      <w:bookmarkStart w:id="14" w:name="_Toc18651"/>
      <w:bookmarkStart w:id="15" w:name="_Toc29684"/>
      <w:r>
        <w:rPr>
          <w:rFonts w:hint="eastAsia" w:cs="宋体"/>
          <w:color w:val="000000"/>
          <w:sz w:val="24"/>
          <w:szCs w:val="24"/>
        </w:rPr>
        <w:t>包含不限于以下内容：</w:t>
      </w:r>
      <w:bookmarkEnd w:id="12"/>
      <w:bookmarkEnd w:id="13"/>
      <w:bookmarkEnd w:id="14"/>
      <w:bookmarkEnd w:id="15"/>
    </w:p>
    <w:p w14:paraId="5482410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010D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4318F6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28947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FACA1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7B73D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71F69517">
      <w:pPr>
        <w:pStyle w:val="77"/>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6B662D2">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6580E6B">
      <w:pPr>
        <w:spacing w:line="360" w:lineRule="auto"/>
        <w:rPr>
          <w:rFonts w:hint="eastAsia" w:ascii="宋体" w:hAnsi="宋体" w:eastAsia="宋体" w:cs="宋体"/>
          <w:color w:val="000000"/>
          <w:sz w:val="24"/>
          <w:szCs w:val="28"/>
        </w:rPr>
      </w:pPr>
    </w:p>
    <w:p w14:paraId="407D70AB">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331B7D5B">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363199267"/>
      <w:bookmarkStart w:id="18" w:name="_Toc6149"/>
      <w:bookmarkStart w:id="19" w:name="_Toc216158627"/>
      <w:r>
        <w:rPr>
          <w:rFonts w:hint="eastAsia" w:ascii="宋体" w:hAnsi="宋体" w:eastAsia="宋体" w:cs="宋体"/>
          <w:b/>
          <w:color w:val="000000"/>
          <w:sz w:val="24"/>
          <w:szCs w:val="28"/>
        </w:rPr>
        <w:t>一、项目概况</w:t>
      </w:r>
    </w:p>
    <w:p w14:paraId="53E7120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顶空气相色谱仪适用于分析气体、挥发性有机化合物（VOCs）以及样品中难以处理的成分。通过顶空的进样方式及质谱检测器可以实现对痕量的挥发性有机污染物的富集和检测，从而来判断环境中的空气污染物，进而推测污染源，实现对污染物的精准检测并控制。参考水质环境标准气相色谱仪+顶空+氢火焰离子化检测器+ECD检测器用于检测土壤和沉积物中挥发性有机物和水质挥发性卤代烃的检测，该方法快速高效。该仪器满足测试检测平台对环境空气、废气检测的实际需求。</w:t>
      </w:r>
    </w:p>
    <w:p w14:paraId="25032C71">
      <w:pPr>
        <w:spacing w:line="360" w:lineRule="auto"/>
        <w:ind w:firstLine="482" w:firstLineChars="200"/>
        <w:rPr>
          <w:rFonts w:ascii="Times New Roman" w:hAnsi="Times New Roman" w:cs="Times New Roman"/>
          <w:b/>
          <w:sz w:val="24"/>
          <w:szCs w:val="28"/>
        </w:rPr>
      </w:pPr>
      <w:bookmarkStart w:id="20" w:name="OLE_LINK16"/>
      <w:bookmarkStart w:id="21" w:name="OLE_LINK17"/>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2E79BEE8">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1</w:t>
      </w:r>
      <w:r>
        <w:rPr>
          <w:rFonts w:hint="eastAsia" w:ascii="Times New Roman" w:hAnsi="Times New Roman" w:eastAsia="宋体" w:cs="Times New Roman"/>
          <w:sz w:val="24"/>
          <w:szCs w:val="22"/>
        </w:rPr>
        <w:t xml:space="preserve"> </w:t>
      </w:r>
      <w:r>
        <w:rPr>
          <w:rFonts w:ascii="Times New Roman" w:hAnsi="Times New Roman" w:eastAsia="宋体" w:cs="Times New Roman"/>
          <w:sz w:val="24"/>
          <w:szCs w:val="22"/>
        </w:rPr>
        <w:t>气相色谱仪主机</w:t>
      </w:r>
    </w:p>
    <w:p w14:paraId="2BFAC3A4">
      <w:pPr>
        <w:pStyle w:val="29"/>
        <w:spacing w:after="0" w:line="360" w:lineRule="auto"/>
        <w:ind w:left="0" w:leftChars="0" w:firstLine="480" w:firstLineChars="200"/>
        <w:rPr>
          <w:rFonts w:ascii="Times New Roman" w:hAnsi="Times New Roman" w:eastAsia="宋体" w:cs="Times New Roman"/>
          <w:sz w:val="24"/>
          <w:szCs w:val="22"/>
        </w:rPr>
      </w:pPr>
      <w:r>
        <w:rPr>
          <w:rFonts w:ascii="Segoe UI Symbol" w:hAnsi="Segoe UI Symbol" w:eastAsia="宋体" w:cs="Segoe UI Symbol"/>
          <w:sz w:val="24"/>
          <w:szCs w:val="22"/>
        </w:rPr>
        <w:t>★</w:t>
      </w:r>
      <w:r>
        <w:rPr>
          <w:rFonts w:ascii="Times New Roman" w:hAnsi="Times New Roman" w:eastAsia="宋体" w:cs="Times New Roman"/>
          <w:sz w:val="24"/>
          <w:szCs w:val="22"/>
        </w:rPr>
        <w:t>1.1面板控制：液晶触摸控制屏，可设定并显示各功能部件工作参数，不接受按键面板控制（提供控制面板实物照片）</w:t>
      </w:r>
    </w:p>
    <w:p w14:paraId="42EE8A85">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2</w:t>
      </w:r>
      <w:r>
        <w:rPr>
          <w:rFonts w:hint="eastAsia" w:ascii="Times New Roman" w:hAnsi="Times New Roman" w:eastAsia="宋体" w:cs="Times New Roman"/>
          <w:sz w:val="24"/>
          <w:szCs w:val="22"/>
        </w:rPr>
        <w:t xml:space="preserve"> </w:t>
      </w:r>
      <w:r>
        <w:rPr>
          <w:rFonts w:ascii="Times New Roman" w:hAnsi="Times New Roman" w:eastAsia="宋体" w:cs="Times New Roman"/>
          <w:sz w:val="24"/>
          <w:szCs w:val="22"/>
        </w:rPr>
        <w:t>程序升温柱温箱</w:t>
      </w:r>
    </w:p>
    <w:p w14:paraId="2232F8C6">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2.1工作温度范围：室温+4℃～450℃</w:t>
      </w:r>
    </w:p>
    <w:p w14:paraId="17792BF2">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2.2程序升温：30阶31平台</w:t>
      </w:r>
    </w:p>
    <w:p w14:paraId="6BF1728B">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2.3可设定最高升温速率：≥120℃/min</w:t>
      </w:r>
    </w:p>
    <w:p w14:paraId="7190CB8F">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3</w:t>
      </w:r>
      <w:r>
        <w:rPr>
          <w:rFonts w:hint="eastAsia" w:ascii="Times New Roman" w:hAnsi="Times New Roman" w:eastAsia="宋体" w:cs="Times New Roman"/>
          <w:sz w:val="24"/>
          <w:szCs w:val="22"/>
        </w:rPr>
        <w:t xml:space="preserve"> </w:t>
      </w:r>
      <w:r>
        <w:rPr>
          <w:rFonts w:ascii="Times New Roman" w:hAnsi="Times New Roman" w:eastAsia="宋体" w:cs="Times New Roman"/>
          <w:sz w:val="24"/>
          <w:szCs w:val="22"/>
        </w:rPr>
        <w:t>进样口</w:t>
      </w:r>
    </w:p>
    <w:p w14:paraId="1A080027">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3.1最多可安装两个进样口</w:t>
      </w:r>
      <w:r>
        <w:rPr>
          <w:rFonts w:hint="eastAsia" w:ascii="Times New Roman" w:hAnsi="Times New Roman" w:eastAsia="宋体" w:cs="Times New Roman"/>
          <w:sz w:val="24"/>
          <w:szCs w:val="22"/>
        </w:rPr>
        <w:t>，</w:t>
      </w:r>
      <w:r>
        <w:rPr>
          <w:rFonts w:ascii="Segoe UI Symbol" w:hAnsi="Segoe UI Symbol" w:eastAsia="宋体" w:cs="Segoe UI Symbol"/>
          <w:sz w:val="24"/>
          <w:szCs w:val="22"/>
        </w:rPr>
        <w:t>★</w:t>
      </w:r>
      <w:r>
        <w:rPr>
          <w:rFonts w:ascii="Times New Roman" w:hAnsi="Times New Roman" w:eastAsia="宋体" w:cs="Times New Roman"/>
          <w:sz w:val="24"/>
          <w:szCs w:val="22"/>
        </w:rPr>
        <w:t>所有进样口均包括电子流量控制模块（epc）</w:t>
      </w:r>
    </w:p>
    <w:p w14:paraId="670E0137">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3.2分流、不分流毛细管柱进样口</w:t>
      </w:r>
    </w:p>
    <w:p w14:paraId="3A0C65A1">
      <w:pPr>
        <w:pStyle w:val="29"/>
        <w:spacing w:after="0" w:line="360" w:lineRule="auto"/>
        <w:ind w:left="0" w:leftChars="0" w:firstLine="480" w:firstLineChars="200"/>
        <w:rPr>
          <w:rFonts w:ascii="Times New Roman" w:hAnsi="Times New Roman" w:eastAsia="宋体" w:cs="Times New Roman"/>
          <w:sz w:val="24"/>
          <w:szCs w:val="22"/>
        </w:rPr>
      </w:pPr>
      <w:r>
        <w:rPr>
          <w:rFonts w:ascii="Segoe UI Symbol" w:hAnsi="Segoe UI Symbol" w:eastAsia="宋体" w:cs="Segoe UI Symbol"/>
          <w:sz w:val="24"/>
          <w:szCs w:val="22"/>
        </w:rPr>
        <w:t>★</w:t>
      </w:r>
      <w:r>
        <w:rPr>
          <w:rFonts w:ascii="Times New Roman" w:hAnsi="Times New Roman" w:eastAsia="宋体" w:cs="Times New Roman"/>
          <w:sz w:val="24"/>
          <w:szCs w:val="22"/>
        </w:rPr>
        <w:t>3.2.1带高精度电子压力、流量控制</w:t>
      </w:r>
    </w:p>
    <w:p w14:paraId="01E72664">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3.2.2最高使用温度不低于450℃</w:t>
      </w:r>
    </w:p>
    <w:p w14:paraId="4CA40BF5">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3.2.3压力设定范围：0～100psi</w:t>
      </w:r>
      <w:r>
        <w:rPr>
          <w:rFonts w:hint="eastAsia" w:ascii="Times New Roman" w:hAnsi="Times New Roman" w:eastAsia="宋体" w:cs="Times New Roman"/>
          <w:sz w:val="24"/>
          <w:szCs w:val="22"/>
        </w:rPr>
        <w:t>；</w:t>
      </w:r>
      <w:r>
        <w:rPr>
          <w:rFonts w:ascii="Times New Roman" w:hAnsi="Times New Roman" w:eastAsia="宋体" w:cs="Times New Roman"/>
          <w:sz w:val="24"/>
          <w:szCs w:val="22"/>
        </w:rPr>
        <w:t>压力控制精度：0.001psi（提供证明材料）</w:t>
      </w:r>
    </w:p>
    <w:p w14:paraId="37C7A756">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3.2.</w:t>
      </w:r>
      <w:r>
        <w:rPr>
          <w:rFonts w:hint="eastAsia" w:ascii="Times New Roman" w:hAnsi="Times New Roman" w:eastAsia="宋体" w:cs="Times New Roman"/>
          <w:sz w:val="24"/>
          <w:szCs w:val="22"/>
        </w:rPr>
        <w:t>4</w:t>
      </w:r>
      <w:r>
        <w:rPr>
          <w:rFonts w:ascii="Times New Roman" w:hAnsi="Times New Roman" w:eastAsia="宋体" w:cs="Times New Roman"/>
          <w:sz w:val="24"/>
          <w:szCs w:val="22"/>
        </w:rPr>
        <w:t>流量设定范围：0～1000mL/min</w:t>
      </w:r>
      <w:r>
        <w:rPr>
          <w:rFonts w:hint="eastAsia" w:ascii="Times New Roman" w:hAnsi="Times New Roman" w:eastAsia="宋体" w:cs="Times New Roman"/>
          <w:sz w:val="24"/>
          <w:szCs w:val="22"/>
        </w:rPr>
        <w:t>；</w:t>
      </w:r>
      <w:r>
        <w:rPr>
          <w:rFonts w:ascii="Times New Roman" w:hAnsi="Times New Roman" w:eastAsia="宋体" w:cs="Times New Roman"/>
          <w:sz w:val="24"/>
          <w:szCs w:val="22"/>
        </w:rPr>
        <w:t>流量控制精度：0.001ml/min（提供软件截图证明材料）</w:t>
      </w:r>
    </w:p>
    <w:p w14:paraId="1D161B60">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4</w:t>
      </w:r>
      <w:r>
        <w:rPr>
          <w:rFonts w:hint="eastAsia" w:ascii="Times New Roman" w:hAnsi="Times New Roman" w:eastAsia="宋体" w:cs="Times New Roman"/>
          <w:sz w:val="24"/>
          <w:szCs w:val="22"/>
        </w:rPr>
        <w:t xml:space="preserve"> </w:t>
      </w:r>
      <w:r>
        <w:rPr>
          <w:rFonts w:ascii="Times New Roman" w:hAnsi="Times New Roman" w:eastAsia="宋体" w:cs="Times New Roman"/>
          <w:sz w:val="24"/>
          <w:szCs w:val="22"/>
        </w:rPr>
        <w:t>检测器</w:t>
      </w:r>
    </w:p>
    <w:p w14:paraId="09764CDC">
      <w:pPr>
        <w:pStyle w:val="29"/>
        <w:spacing w:after="0" w:line="360" w:lineRule="auto"/>
        <w:ind w:left="0" w:leftChars="0" w:firstLine="480" w:firstLineChars="200"/>
        <w:rPr>
          <w:rFonts w:ascii="Times New Roman" w:hAnsi="Times New Roman" w:eastAsia="宋体" w:cs="Times New Roman"/>
          <w:sz w:val="24"/>
          <w:szCs w:val="22"/>
        </w:rPr>
      </w:pPr>
      <w:r>
        <w:rPr>
          <w:rFonts w:ascii="Segoe UI Symbol" w:hAnsi="Segoe UI Symbol" w:eastAsia="宋体" w:cs="Segoe UI Symbol"/>
          <w:sz w:val="24"/>
          <w:szCs w:val="22"/>
        </w:rPr>
        <w:t>★</w:t>
      </w:r>
      <w:r>
        <w:rPr>
          <w:rFonts w:ascii="Times New Roman" w:hAnsi="Times New Roman" w:eastAsia="宋体" w:cs="Times New Roman"/>
          <w:sz w:val="24"/>
          <w:szCs w:val="22"/>
        </w:rPr>
        <w:t>4.1所有检测器均包括电子流量控制模块</w:t>
      </w:r>
    </w:p>
    <w:p w14:paraId="04E23013">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4.1.1最多可搭载至少2个独立控温的检测器</w:t>
      </w:r>
    </w:p>
    <w:p w14:paraId="621DF00D">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4.1.2可选配检测器：FID、TCD、 u-ECD 、FPD</w:t>
      </w:r>
    </w:p>
    <w:p w14:paraId="3A62A4D3">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4.2 氢火焰离子化检测器(FID)</w:t>
      </w:r>
    </w:p>
    <w:p w14:paraId="7EB10119">
      <w:pPr>
        <w:pStyle w:val="29"/>
        <w:spacing w:after="0" w:line="360" w:lineRule="auto"/>
        <w:ind w:left="0" w:leftChars="0" w:firstLine="480" w:firstLineChars="200"/>
        <w:rPr>
          <w:rFonts w:ascii="Times New Roman" w:hAnsi="Times New Roman" w:eastAsia="宋体" w:cs="Times New Roman"/>
          <w:sz w:val="24"/>
          <w:szCs w:val="22"/>
        </w:rPr>
      </w:pPr>
      <w:r>
        <w:rPr>
          <w:rFonts w:ascii="Segoe UI Symbol" w:hAnsi="Segoe UI Symbol" w:eastAsia="宋体" w:cs="Segoe UI Symbol"/>
          <w:sz w:val="24"/>
          <w:szCs w:val="22"/>
        </w:rPr>
        <w:t>★</w:t>
      </w:r>
      <w:r>
        <w:rPr>
          <w:rFonts w:ascii="Times New Roman" w:hAnsi="Times New Roman" w:eastAsia="宋体" w:cs="Times New Roman"/>
          <w:sz w:val="24"/>
          <w:szCs w:val="22"/>
        </w:rPr>
        <w:t>4.2.1高精度电子流量/压力控制（EPC）</w:t>
      </w:r>
    </w:p>
    <w:p w14:paraId="38BDFA30">
      <w:pPr>
        <w:pStyle w:val="29"/>
        <w:spacing w:after="0" w:line="360" w:lineRule="auto"/>
        <w:ind w:left="0" w:leftChars="0" w:firstLine="480" w:firstLineChars="200"/>
        <w:rPr>
          <w:rFonts w:ascii="Times New Roman" w:hAnsi="Times New Roman" w:eastAsia="宋体" w:cs="Times New Roman"/>
          <w:sz w:val="24"/>
          <w:szCs w:val="22"/>
        </w:rPr>
      </w:pPr>
      <w:r>
        <w:rPr>
          <w:rFonts w:ascii="Segoe UI Symbol" w:hAnsi="Segoe UI Symbol" w:eastAsia="宋体" w:cs="Segoe UI Symbol"/>
          <w:sz w:val="24"/>
          <w:szCs w:val="22"/>
        </w:rPr>
        <w:t>★</w:t>
      </w:r>
      <w:r>
        <w:rPr>
          <w:rFonts w:ascii="Times New Roman" w:hAnsi="Times New Roman" w:eastAsia="宋体" w:cs="Times New Roman"/>
          <w:sz w:val="24"/>
          <w:szCs w:val="22"/>
        </w:rPr>
        <w:t>4.2.2 检出限：≤1.2 pg C/s（国家标准测试标准物质）（提供省级以上资质计量报告）</w:t>
      </w:r>
    </w:p>
    <w:p w14:paraId="37CBFC98">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4.2.3 线性范围：≥10</w:t>
      </w:r>
      <w:r>
        <w:rPr>
          <w:rFonts w:ascii="Times New Roman" w:hAnsi="Times New Roman" w:eastAsia="宋体" w:cs="Times New Roman"/>
          <w:sz w:val="24"/>
          <w:szCs w:val="22"/>
          <w:vertAlign w:val="superscript"/>
        </w:rPr>
        <w:t>7</w:t>
      </w:r>
    </w:p>
    <w:p w14:paraId="01148601">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5</w:t>
      </w:r>
      <w:r>
        <w:rPr>
          <w:rFonts w:hint="eastAsia" w:ascii="Times New Roman" w:hAnsi="Times New Roman" w:eastAsia="宋体" w:cs="Times New Roman"/>
          <w:sz w:val="24"/>
          <w:szCs w:val="22"/>
        </w:rPr>
        <w:t xml:space="preserve"> </w:t>
      </w:r>
      <w:r>
        <w:rPr>
          <w:rFonts w:ascii="Times New Roman" w:hAnsi="Times New Roman" w:eastAsia="宋体" w:cs="Times New Roman"/>
          <w:sz w:val="24"/>
          <w:szCs w:val="22"/>
        </w:rPr>
        <w:t>软件及数据处理</w:t>
      </w:r>
    </w:p>
    <w:p w14:paraId="2ADDEB70">
      <w:pPr>
        <w:pStyle w:val="29"/>
        <w:spacing w:after="0" w:line="360" w:lineRule="auto"/>
        <w:ind w:left="0" w:leftChars="0" w:firstLine="480" w:firstLineChars="200"/>
        <w:rPr>
          <w:rFonts w:ascii="Times New Roman" w:hAnsi="Times New Roman" w:eastAsia="宋体" w:cs="Times New Roman"/>
          <w:sz w:val="24"/>
          <w:szCs w:val="22"/>
        </w:rPr>
      </w:pPr>
      <w:r>
        <w:rPr>
          <w:rFonts w:ascii="Segoe UI Symbol" w:hAnsi="Segoe UI Symbol" w:eastAsia="宋体" w:cs="Segoe UI Symbol"/>
          <w:sz w:val="24"/>
          <w:szCs w:val="22"/>
        </w:rPr>
        <w:t>★</w:t>
      </w:r>
      <w:r>
        <w:rPr>
          <w:rFonts w:ascii="Times New Roman" w:hAnsi="Times New Roman" w:eastAsia="宋体" w:cs="Times New Roman"/>
          <w:sz w:val="24"/>
          <w:szCs w:val="22"/>
        </w:rPr>
        <w:t>5.1中英文版本可选，有自主知识产权（提供相关证明材料）</w:t>
      </w:r>
    </w:p>
    <w:p w14:paraId="26079220">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5.2 独特的“快照”功能，可以使用户在线得到分析结果而无需等到采集结束</w:t>
      </w:r>
    </w:p>
    <w:p w14:paraId="1D49F042">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6</w:t>
      </w:r>
      <w:r>
        <w:rPr>
          <w:rFonts w:hint="eastAsia" w:ascii="Times New Roman" w:hAnsi="Times New Roman" w:eastAsia="宋体" w:cs="Times New Roman"/>
          <w:sz w:val="24"/>
          <w:szCs w:val="22"/>
        </w:rPr>
        <w:t xml:space="preserve"> </w:t>
      </w:r>
      <w:r>
        <w:rPr>
          <w:rFonts w:ascii="Times New Roman" w:hAnsi="Times New Roman" w:eastAsia="宋体" w:cs="Times New Roman"/>
          <w:sz w:val="24"/>
          <w:szCs w:val="22"/>
        </w:rPr>
        <w:t>顶空进样器</w:t>
      </w:r>
    </w:p>
    <w:p w14:paraId="5719E347">
      <w:pPr>
        <w:pStyle w:val="29"/>
        <w:spacing w:after="0" w:line="360" w:lineRule="auto"/>
        <w:ind w:left="0" w:leftChars="0" w:firstLine="480" w:firstLineChars="200"/>
        <w:rPr>
          <w:rFonts w:ascii="Times New Roman" w:hAnsi="Times New Roman" w:eastAsia="宋体" w:cs="Times New Roman"/>
          <w:sz w:val="24"/>
          <w:szCs w:val="22"/>
        </w:rPr>
      </w:pPr>
      <w:r>
        <w:rPr>
          <w:rFonts w:ascii="Segoe UI Symbol" w:hAnsi="Segoe UI Symbol" w:eastAsia="宋体" w:cs="Segoe UI Symbol"/>
          <w:sz w:val="24"/>
          <w:szCs w:val="22"/>
        </w:rPr>
        <w:t>★</w:t>
      </w:r>
      <w:r>
        <w:rPr>
          <w:rFonts w:ascii="Times New Roman" w:hAnsi="Times New Roman" w:eastAsia="宋体" w:cs="Times New Roman"/>
          <w:sz w:val="24"/>
          <w:szCs w:val="22"/>
        </w:rPr>
        <w:t>6.1与气相色谱仪同一品牌，便于售后服务。</w:t>
      </w:r>
    </w:p>
    <w:p w14:paraId="6A1B5A96">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6.2样品加热温度控制范围：室温</w:t>
      </w:r>
      <w:r>
        <w:rPr>
          <w:rFonts w:hint="eastAsia" w:ascii="Times New Roman" w:hAnsi="Times New Roman" w:eastAsia="宋体" w:cs="Times New Roman"/>
          <w:sz w:val="24"/>
          <w:szCs w:val="22"/>
        </w:rPr>
        <w:t>—</w:t>
      </w:r>
      <w:r>
        <w:rPr>
          <w:rFonts w:ascii="Times New Roman" w:hAnsi="Times New Roman" w:eastAsia="宋体" w:cs="Times New Roman"/>
          <w:sz w:val="24"/>
          <w:szCs w:val="22"/>
        </w:rPr>
        <w:t>220℃ 以增量1℃任设；阀箱温度控制范围：室温</w:t>
      </w:r>
      <w:r>
        <w:rPr>
          <w:rFonts w:hint="eastAsia" w:ascii="Times New Roman" w:hAnsi="Times New Roman" w:eastAsia="宋体" w:cs="Times New Roman"/>
          <w:sz w:val="24"/>
          <w:szCs w:val="22"/>
        </w:rPr>
        <w:t>—</w:t>
      </w:r>
      <w:r>
        <w:rPr>
          <w:rFonts w:ascii="Times New Roman" w:hAnsi="Times New Roman" w:eastAsia="宋体" w:cs="Times New Roman"/>
          <w:sz w:val="24"/>
          <w:szCs w:val="22"/>
        </w:rPr>
        <w:t>220℃ 以增量1℃任设；样品传送管线温度控制范围：室温</w:t>
      </w:r>
      <w:r>
        <w:rPr>
          <w:rFonts w:hint="eastAsia" w:ascii="Times New Roman" w:hAnsi="Times New Roman" w:eastAsia="宋体" w:cs="Times New Roman"/>
          <w:sz w:val="24"/>
          <w:szCs w:val="22"/>
        </w:rPr>
        <w:t>—</w:t>
      </w:r>
      <w:r>
        <w:rPr>
          <w:rFonts w:ascii="Times New Roman" w:hAnsi="Times New Roman" w:eastAsia="宋体" w:cs="Times New Roman"/>
          <w:sz w:val="24"/>
          <w:szCs w:val="22"/>
        </w:rPr>
        <w:t>220℃ 以增量1℃任设</w:t>
      </w:r>
    </w:p>
    <w:p w14:paraId="797573C1">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6.3顶空瓶工位：≥15个样品位</w:t>
      </w:r>
    </w:p>
    <w:p w14:paraId="64F7B9FF">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6.4加热位：≥1个</w:t>
      </w:r>
    </w:p>
    <w:p w14:paraId="2D53D7AF">
      <w:pPr>
        <w:pStyle w:val="29"/>
        <w:spacing w:after="0" w:line="360" w:lineRule="auto"/>
        <w:ind w:left="0" w:leftChars="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6.5图形化触摸屏，动画显示加热炉内顶空瓶加热情况，进瓶退瓶加压定量过程等。显示温度、压力、流量等参数的实时状态，以及序列剩余时间等</w:t>
      </w:r>
    </w:p>
    <w:bookmarkEnd w:id="20"/>
    <w:bookmarkEnd w:id="21"/>
    <w:p w14:paraId="4DB85A6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7A3881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51B57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F7CC47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773CAB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096D41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9FB25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A2EFE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094B4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74525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63859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BB05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5D020B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7D467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41B5D7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86AA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9840C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5AEC49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586837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5F25A9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7D14A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1444DE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2B7240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B88A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183F6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7631FA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38AE38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0ABA05F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0555D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3C107373">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pPr>
        <w:pStyle w:val="4"/>
        <w:keepLines/>
        <w:ind w:left="720" w:hanging="720"/>
        <w:rPr>
          <w:rFonts w:hint="eastAsia" w:ascii="宋体" w:hAnsi="宋体" w:eastAsia="宋体" w:cs="宋体"/>
          <w:color w:val="000000"/>
          <w:sz w:val="32"/>
        </w:rPr>
      </w:pPr>
    </w:p>
    <w:p w14:paraId="0C37DB3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A37D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A652D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D154F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6768B7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DA2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A642F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4AC6D6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26792D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AED227B">
      <w:pPr>
        <w:spacing w:line="360" w:lineRule="auto"/>
        <w:ind w:firstLine="480" w:firstLineChars="200"/>
        <w:rPr>
          <w:rFonts w:hint="eastAsia" w:ascii="宋体" w:hAnsi="宋体" w:eastAsia="宋体" w:cs="宋体"/>
          <w:color w:val="000000"/>
          <w:sz w:val="24"/>
          <w:szCs w:val="24"/>
        </w:rPr>
      </w:pPr>
    </w:p>
    <w:p w14:paraId="0054E2EC">
      <w:pPr>
        <w:pStyle w:val="4"/>
        <w:keepLines/>
        <w:ind w:left="720" w:hanging="720"/>
        <w:jc w:val="center"/>
        <w:rPr>
          <w:rFonts w:hint="eastAsia" w:ascii="宋体" w:hAnsi="宋体" w:eastAsia="宋体" w:cs="宋体"/>
          <w:color w:val="000000"/>
          <w:sz w:val="32"/>
        </w:rPr>
      </w:pPr>
      <w:bookmarkStart w:id="22" w:name="_Toc25322"/>
      <w:bookmarkStart w:id="23"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5A330C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695DA1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B11F9DD">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CB1C470">
      <w:pPr>
        <w:rPr>
          <w:rFonts w:hint="eastAsia"/>
        </w:rPr>
      </w:pPr>
      <w:bookmarkStart w:id="24" w:name="_Toc363199269"/>
    </w:p>
    <w:p w14:paraId="70B46266">
      <w:pPr>
        <w:pStyle w:val="4"/>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22166E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A5F79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5E35AB2">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133C6EB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6EEF0CDC">
      <w:pPr>
        <w:spacing w:line="500" w:lineRule="exact"/>
        <w:jc w:val="center"/>
        <w:rPr>
          <w:rFonts w:hint="eastAsia" w:ascii="宋体" w:hAnsi="宋体" w:eastAsia="宋体" w:cs="宋体"/>
          <w:b/>
          <w:color w:val="000000"/>
          <w:sz w:val="32"/>
        </w:rPr>
      </w:pPr>
    </w:p>
    <w:p w14:paraId="2BB28CB5">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项目名称：顶空气相色谱仪设备采购</w:t>
      </w:r>
    </w:p>
    <w:p w14:paraId="1EB4EB15">
      <w:pPr>
        <w:spacing w:line="900" w:lineRule="exact"/>
        <w:jc w:val="center"/>
        <w:rPr>
          <w:rFonts w:hint="eastAsia" w:ascii="宋体" w:hAnsi="宋体" w:eastAsia="宋体" w:cs="宋体"/>
          <w:b/>
          <w:color w:val="000000"/>
          <w:sz w:val="28"/>
          <w:szCs w:val="6"/>
        </w:rPr>
      </w:pPr>
    </w:p>
    <w:p w14:paraId="7E47206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10DA0D52">
      <w:pPr>
        <w:spacing w:line="900" w:lineRule="exact"/>
        <w:jc w:val="center"/>
        <w:rPr>
          <w:rFonts w:hint="eastAsia" w:ascii="宋体" w:hAnsi="宋体" w:eastAsia="宋体" w:cs="宋体"/>
          <w:b/>
          <w:color w:val="000000"/>
          <w:sz w:val="72"/>
        </w:rPr>
      </w:pPr>
    </w:p>
    <w:p w14:paraId="0862B28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53B9E42">
      <w:pPr>
        <w:spacing w:line="900" w:lineRule="exact"/>
        <w:jc w:val="center"/>
        <w:rPr>
          <w:rFonts w:hint="eastAsia" w:ascii="宋体" w:hAnsi="宋体" w:eastAsia="宋体" w:cs="宋体"/>
          <w:b/>
          <w:color w:val="000000"/>
          <w:sz w:val="72"/>
        </w:rPr>
      </w:pPr>
    </w:p>
    <w:p w14:paraId="267AC087">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7BB269F">
      <w:pPr>
        <w:spacing w:line="900" w:lineRule="exact"/>
        <w:jc w:val="center"/>
        <w:rPr>
          <w:rFonts w:hint="eastAsia" w:ascii="宋体" w:hAnsi="宋体" w:eastAsia="宋体" w:cs="宋体"/>
          <w:b/>
          <w:color w:val="000000"/>
          <w:sz w:val="72"/>
        </w:rPr>
      </w:pPr>
    </w:p>
    <w:p w14:paraId="70E6E4D5">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C7E16F9">
      <w:pPr>
        <w:spacing w:after="156" w:afterLines="50"/>
        <w:jc w:val="center"/>
        <w:rPr>
          <w:rFonts w:hint="eastAsia" w:ascii="宋体" w:hAnsi="宋体" w:eastAsia="宋体" w:cs="宋体"/>
          <w:b/>
          <w:color w:val="000000"/>
          <w:sz w:val="72"/>
        </w:rPr>
      </w:pPr>
    </w:p>
    <w:p w14:paraId="18572503">
      <w:pPr>
        <w:spacing w:after="156" w:afterLines="50" w:line="500" w:lineRule="exact"/>
        <w:jc w:val="center"/>
        <w:rPr>
          <w:rFonts w:hint="eastAsia" w:ascii="宋体" w:hAnsi="宋体" w:eastAsia="宋体" w:cs="宋体"/>
          <w:b/>
          <w:color w:val="000000"/>
          <w:sz w:val="72"/>
        </w:rPr>
      </w:pPr>
    </w:p>
    <w:p w14:paraId="57444E6A">
      <w:pPr>
        <w:spacing w:after="156" w:afterLines="50" w:line="500" w:lineRule="exact"/>
        <w:jc w:val="center"/>
        <w:rPr>
          <w:rFonts w:hint="eastAsia" w:ascii="宋体" w:hAnsi="宋体" w:eastAsia="宋体" w:cs="宋体"/>
          <w:b/>
          <w:color w:val="000000"/>
          <w:sz w:val="72"/>
        </w:rPr>
      </w:pPr>
    </w:p>
    <w:p w14:paraId="7C9BF299">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50C74DEB">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4B90AC4E">
      <w:pPr>
        <w:spacing w:line="360" w:lineRule="auto"/>
        <w:rPr>
          <w:rFonts w:hint="eastAsia" w:ascii="宋体" w:hAnsi="宋体" w:eastAsia="宋体" w:cs="宋体"/>
          <w:color w:val="000000"/>
          <w:sz w:val="24"/>
          <w:szCs w:val="28"/>
        </w:rPr>
      </w:pPr>
    </w:p>
    <w:p w14:paraId="31159254">
      <w:pPr>
        <w:spacing w:line="360" w:lineRule="auto"/>
        <w:rPr>
          <w:rFonts w:hint="eastAsia" w:ascii="宋体" w:hAnsi="宋体" w:eastAsia="宋体" w:cs="宋体"/>
          <w:color w:val="000000"/>
          <w:sz w:val="24"/>
          <w:szCs w:val="28"/>
        </w:rPr>
      </w:pPr>
    </w:p>
    <w:p w14:paraId="0FD112C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D5711A6">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C918C9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E205C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0D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64058B">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2FDFE2C">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CE1215D">
            <w:pPr>
              <w:spacing w:line="360" w:lineRule="auto"/>
              <w:jc w:val="center"/>
              <w:rPr>
                <w:rFonts w:hint="eastAsia" w:ascii="宋体" w:hAnsi="宋体" w:eastAsia="宋体" w:cs="宋体"/>
                <w:b/>
                <w:color w:val="000000"/>
                <w:sz w:val="24"/>
              </w:rPr>
            </w:pPr>
          </w:p>
        </w:tc>
      </w:tr>
      <w:tr w14:paraId="4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0E95A">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28122693">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BEEF6DD">
            <w:pPr>
              <w:spacing w:line="360" w:lineRule="auto"/>
              <w:jc w:val="center"/>
              <w:rPr>
                <w:rFonts w:hint="eastAsia" w:ascii="宋体" w:hAnsi="宋体" w:eastAsia="宋体" w:cs="宋体"/>
                <w:b/>
                <w:color w:val="000000"/>
                <w:sz w:val="24"/>
              </w:rPr>
            </w:pP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43101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2AC6D25">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52C5E71D">
            <w:pPr>
              <w:spacing w:line="360" w:lineRule="auto"/>
              <w:jc w:val="center"/>
              <w:rPr>
                <w:rFonts w:hint="eastAsia" w:ascii="宋体" w:hAnsi="宋体" w:eastAsia="宋体" w:cs="宋体"/>
                <w:b/>
                <w:color w:val="000000"/>
                <w:sz w:val="24"/>
              </w:rPr>
            </w:pPr>
          </w:p>
        </w:tc>
      </w:tr>
      <w:tr w14:paraId="023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5887E86">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8FB42F7">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FF89797">
            <w:pPr>
              <w:spacing w:line="360" w:lineRule="auto"/>
              <w:jc w:val="center"/>
              <w:rPr>
                <w:rFonts w:hint="eastAsia" w:ascii="宋体" w:hAnsi="宋体" w:eastAsia="宋体" w:cs="宋体"/>
                <w:b/>
                <w:color w:val="000000"/>
                <w:sz w:val="24"/>
              </w:rPr>
            </w:pPr>
          </w:p>
        </w:tc>
      </w:tr>
      <w:tr w14:paraId="3B8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8011E2">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2ED19145">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AE5B2C">
            <w:pPr>
              <w:spacing w:line="360" w:lineRule="auto"/>
              <w:jc w:val="center"/>
              <w:rPr>
                <w:rFonts w:hint="eastAsia" w:ascii="宋体" w:hAnsi="宋体" w:eastAsia="宋体" w:cs="宋体"/>
                <w:b/>
                <w:color w:val="000000"/>
                <w:sz w:val="24"/>
              </w:rPr>
            </w:pPr>
          </w:p>
        </w:tc>
      </w:tr>
      <w:tr w14:paraId="7072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3954458B">
            <w:pPr>
              <w:jc w:val="center"/>
              <w:rPr>
                <w:rFonts w:hint="eastAsia" w:ascii="宋体" w:hAnsi="宋体" w:eastAsia="宋体" w:cs="宋体"/>
                <w:color w:val="000000"/>
                <w:sz w:val="24"/>
              </w:rPr>
            </w:pPr>
          </w:p>
        </w:tc>
        <w:tc>
          <w:tcPr>
            <w:tcW w:w="5460" w:type="dxa"/>
            <w:vAlign w:val="center"/>
          </w:tcPr>
          <w:p w14:paraId="63187C27">
            <w:pPr>
              <w:rPr>
                <w:rFonts w:hint="eastAsia" w:ascii="宋体" w:hAnsi="宋体" w:eastAsia="宋体" w:cs="宋体"/>
                <w:color w:val="000000"/>
                <w:sz w:val="24"/>
              </w:rPr>
            </w:pPr>
          </w:p>
        </w:tc>
        <w:tc>
          <w:tcPr>
            <w:tcW w:w="2625" w:type="dxa"/>
            <w:vAlign w:val="center"/>
          </w:tcPr>
          <w:p w14:paraId="53CF3EB9">
            <w:pPr>
              <w:spacing w:line="360" w:lineRule="auto"/>
              <w:rPr>
                <w:rFonts w:hint="eastAsia" w:ascii="宋体" w:hAnsi="宋体" w:eastAsia="宋体" w:cs="宋体"/>
                <w:b/>
                <w:color w:val="000000"/>
                <w:sz w:val="24"/>
              </w:rPr>
            </w:pPr>
          </w:p>
        </w:tc>
      </w:tr>
    </w:tbl>
    <w:p w14:paraId="42532D39">
      <w:pPr>
        <w:spacing w:line="360" w:lineRule="auto"/>
        <w:jc w:val="center"/>
        <w:rPr>
          <w:rFonts w:hint="eastAsia" w:ascii="宋体" w:hAnsi="宋体" w:eastAsia="宋体" w:cs="宋体"/>
          <w:b/>
          <w:color w:val="000000"/>
          <w:sz w:val="24"/>
        </w:rPr>
      </w:pPr>
    </w:p>
    <w:p w14:paraId="3142AB6A">
      <w:pPr>
        <w:spacing w:line="360" w:lineRule="auto"/>
        <w:jc w:val="center"/>
        <w:rPr>
          <w:rFonts w:hint="eastAsia" w:ascii="宋体" w:hAnsi="宋体" w:eastAsia="宋体" w:cs="宋体"/>
          <w:b/>
          <w:color w:val="000000"/>
          <w:sz w:val="24"/>
        </w:rPr>
      </w:pPr>
    </w:p>
    <w:p w14:paraId="54542E7C">
      <w:pPr>
        <w:spacing w:line="360" w:lineRule="auto"/>
        <w:jc w:val="center"/>
        <w:rPr>
          <w:rFonts w:hint="eastAsia" w:ascii="宋体" w:hAnsi="宋体" w:eastAsia="宋体" w:cs="宋体"/>
          <w:b/>
          <w:color w:val="000000"/>
          <w:sz w:val="24"/>
        </w:rPr>
      </w:pPr>
    </w:p>
    <w:p w14:paraId="09C09ABB">
      <w:pPr>
        <w:spacing w:line="360" w:lineRule="auto"/>
        <w:jc w:val="center"/>
        <w:rPr>
          <w:rFonts w:hint="eastAsia" w:ascii="宋体" w:hAnsi="宋体" w:eastAsia="宋体" w:cs="宋体"/>
          <w:b/>
          <w:color w:val="000000"/>
          <w:sz w:val="24"/>
        </w:rPr>
      </w:pPr>
    </w:p>
    <w:p w14:paraId="211C07ED">
      <w:pPr>
        <w:spacing w:line="360" w:lineRule="auto"/>
        <w:jc w:val="center"/>
        <w:rPr>
          <w:rFonts w:hint="eastAsia" w:ascii="宋体" w:hAnsi="宋体" w:eastAsia="宋体" w:cs="宋体"/>
          <w:b/>
          <w:color w:val="000000"/>
          <w:sz w:val="24"/>
        </w:rPr>
      </w:pPr>
    </w:p>
    <w:p w14:paraId="2E572EDE">
      <w:pPr>
        <w:spacing w:line="360" w:lineRule="auto"/>
        <w:jc w:val="center"/>
        <w:rPr>
          <w:rFonts w:hint="eastAsia" w:ascii="宋体" w:hAnsi="宋体" w:eastAsia="宋体" w:cs="宋体"/>
          <w:b/>
          <w:color w:val="000000"/>
          <w:sz w:val="24"/>
        </w:rPr>
      </w:pPr>
    </w:p>
    <w:p w14:paraId="23D0405A">
      <w:pPr>
        <w:spacing w:line="360" w:lineRule="auto"/>
        <w:jc w:val="center"/>
        <w:rPr>
          <w:rFonts w:hint="eastAsia" w:ascii="宋体" w:hAnsi="宋体" w:eastAsia="宋体" w:cs="宋体"/>
          <w:b/>
          <w:color w:val="000000"/>
          <w:sz w:val="24"/>
        </w:rPr>
      </w:pPr>
    </w:p>
    <w:p w14:paraId="5384DD67">
      <w:pPr>
        <w:spacing w:line="360" w:lineRule="auto"/>
        <w:jc w:val="center"/>
        <w:rPr>
          <w:rFonts w:hint="eastAsia" w:ascii="宋体" w:hAnsi="宋体" w:eastAsia="宋体" w:cs="宋体"/>
          <w:b/>
          <w:color w:val="000000"/>
          <w:sz w:val="24"/>
        </w:rPr>
      </w:pPr>
    </w:p>
    <w:p w14:paraId="452F6D03">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62CDA24">
      <w:pPr>
        <w:pStyle w:val="6"/>
        <w:rPr>
          <w:rFonts w:hint="eastAsia" w:ascii="宋体" w:hAnsi="宋体" w:eastAsia="宋体" w:cs="宋体"/>
          <w:color w:val="000000"/>
          <w:sz w:val="24"/>
          <w:szCs w:val="24"/>
        </w:rPr>
      </w:pPr>
      <w:bookmarkStart w:id="28" w:name="_Toc4938"/>
      <w:bookmarkStart w:id="29" w:name="_Toc5390"/>
      <w:r>
        <w:rPr>
          <w:rFonts w:hint="eastAsia" w:ascii="宋体" w:hAnsi="宋体" w:eastAsia="宋体" w:cs="宋体"/>
          <w:color w:val="000000"/>
          <w:sz w:val="24"/>
          <w:szCs w:val="24"/>
        </w:rPr>
        <w:t>附件一</w:t>
      </w:r>
      <w:bookmarkEnd w:id="28"/>
      <w:bookmarkEnd w:id="29"/>
    </w:p>
    <w:p w14:paraId="54DCB33F">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AD3F75E">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E17F7A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643CD299">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6FCA69C">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AB72BD">
            <w:pPr>
              <w:jc w:val="center"/>
              <w:rPr>
                <w:rFonts w:hint="eastAsia" w:ascii="宋体" w:hAnsi="宋体" w:eastAsia="宋体" w:cs="宋体"/>
                <w:b/>
                <w:bCs/>
                <w:color w:val="000000"/>
                <w:sz w:val="32"/>
                <w:szCs w:val="32"/>
              </w:rPr>
            </w:pPr>
          </w:p>
        </w:tc>
      </w:tr>
      <w:tr w14:paraId="41411C8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DAC122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4CF241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6A98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3C684F2">
            <w:pPr>
              <w:jc w:val="center"/>
              <w:rPr>
                <w:rFonts w:hint="eastAsia" w:ascii="宋体" w:hAnsi="宋体" w:eastAsia="宋体" w:cs="宋体"/>
                <w:color w:val="000000"/>
                <w:sz w:val="22"/>
                <w:szCs w:val="22"/>
              </w:rPr>
            </w:pPr>
          </w:p>
        </w:tc>
      </w:tr>
      <w:tr w14:paraId="0FBC52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C04B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7DF075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C2DCE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C65201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1C431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B3D9196">
            <w:pPr>
              <w:jc w:val="center"/>
              <w:rPr>
                <w:rFonts w:hint="eastAsia" w:ascii="宋体" w:hAnsi="宋体" w:eastAsia="宋体" w:cs="宋体"/>
                <w:color w:val="000000"/>
                <w:sz w:val="22"/>
                <w:szCs w:val="22"/>
              </w:rPr>
            </w:pPr>
          </w:p>
        </w:tc>
      </w:tr>
      <w:tr w14:paraId="0490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51E49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114FF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12A549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2B38F6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621EB07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6AC00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6B6E3C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F8264EB">
            <w:pPr>
              <w:jc w:val="center"/>
              <w:rPr>
                <w:rFonts w:hint="eastAsia" w:ascii="宋体" w:hAnsi="宋体" w:eastAsia="宋体" w:cs="宋体"/>
                <w:color w:val="000000"/>
                <w:sz w:val="22"/>
                <w:szCs w:val="22"/>
              </w:rPr>
            </w:pPr>
          </w:p>
        </w:tc>
      </w:tr>
      <w:tr w14:paraId="2AA475B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8F1DF1">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23C0E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4326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5D7B7F8">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5E6FF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C7FBEE4">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F35B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A48A2A9">
            <w:pPr>
              <w:jc w:val="center"/>
              <w:rPr>
                <w:rFonts w:hint="eastAsia" w:ascii="宋体" w:hAnsi="宋体" w:eastAsia="宋体" w:cs="宋体"/>
                <w:color w:val="000000"/>
                <w:sz w:val="22"/>
                <w:szCs w:val="22"/>
              </w:rPr>
            </w:pPr>
          </w:p>
        </w:tc>
      </w:tr>
      <w:tr w14:paraId="66D4BDD5">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58B3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D6D9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480FD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F201070">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E3B1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77D58AB">
            <w:pPr>
              <w:jc w:val="center"/>
              <w:rPr>
                <w:rFonts w:hint="eastAsia" w:ascii="宋体" w:hAnsi="宋体" w:eastAsia="宋体" w:cs="宋体"/>
                <w:color w:val="800080"/>
                <w:sz w:val="22"/>
                <w:szCs w:val="22"/>
                <w:u w:val="single"/>
              </w:rPr>
            </w:pPr>
          </w:p>
        </w:tc>
      </w:tr>
      <w:tr w14:paraId="7992035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04169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123F84C">
            <w:pPr>
              <w:jc w:val="center"/>
              <w:rPr>
                <w:rFonts w:hint="eastAsia" w:ascii="宋体" w:hAnsi="宋体" w:eastAsia="宋体" w:cs="宋体"/>
                <w:color w:val="000000"/>
                <w:sz w:val="22"/>
                <w:szCs w:val="22"/>
              </w:rPr>
            </w:pPr>
          </w:p>
        </w:tc>
      </w:tr>
      <w:tr w14:paraId="229E987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4C5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614AFDE">
            <w:pPr>
              <w:jc w:val="center"/>
              <w:rPr>
                <w:rFonts w:hint="eastAsia" w:ascii="宋体" w:hAnsi="宋体" w:eastAsia="宋体" w:cs="宋体"/>
                <w:color w:val="000000"/>
                <w:sz w:val="22"/>
                <w:szCs w:val="22"/>
              </w:rPr>
            </w:pPr>
          </w:p>
        </w:tc>
      </w:tr>
      <w:tr w14:paraId="3B19E769">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3370645">
            <w:pPr>
              <w:jc w:val="center"/>
              <w:rPr>
                <w:rFonts w:hint="eastAsia" w:ascii="宋体" w:hAnsi="宋体" w:eastAsia="宋体" w:cs="宋体"/>
                <w:color w:val="000000"/>
                <w:sz w:val="22"/>
                <w:szCs w:val="22"/>
              </w:rPr>
            </w:pPr>
          </w:p>
        </w:tc>
      </w:tr>
      <w:tr w14:paraId="56E6A04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60C74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65929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18589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97304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F27A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45AEA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2451EC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155686C">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92010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BD0ED77">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44EC77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109C5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48CED3">
            <w:pPr>
              <w:jc w:val="center"/>
              <w:rPr>
                <w:rFonts w:hint="eastAsia" w:ascii="宋体" w:hAnsi="宋体" w:eastAsia="宋体" w:cs="宋体"/>
                <w:color w:val="000000"/>
                <w:sz w:val="22"/>
                <w:szCs w:val="22"/>
              </w:rPr>
            </w:pPr>
          </w:p>
        </w:tc>
      </w:tr>
      <w:tr w14:paraId="3EE5BE2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A020B6">
            <w:pPr>
              <w:jc w:val="center"/>
              <w:rPr>
                <w:rFonts w:hint="eastAsia" w:ascii="宋体" w:hAnsi="宋体" w:eastAsia="宋体" w:cs="宋体"/>
                <w:color w:val="000000"/>
                <w:sz w:val="22"/>
                <w:szCs w:val="22"/>
              </w:rPr>
            </w:pPr>
          </w:p>
        </w:tc>
      </w:tr>
      <w:tr w14:paraId="4EF97FC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A68FADF">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68356BB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0F9148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7C04F5A">
            <w:pPr>
              <w:jc w:val="center"/>
              <w:rPr>
                <w:rFonts w:hint="eastAsia" w:ascii="宋体" w:hAnsi="宋体" w:eastAsia="宋体" w:cs="宋体"/>
                <w:color w:val="000000"/>
                <w:sz w:val="22"/>
                <w:szCs w:val="22"/>
              </w:rPr>
            </w:pPr>
          </w:p>
        </w:tc>
      </w:tr>
      <w:tr w14:paraId="5DA9663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279FE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4591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91343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02B61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F6180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A9200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BCB0E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2275F7A6">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EA4060">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FC23E2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215B9C9">
            <w:pPr>
              <w:jc w:val="center"/>
              <w:rPr>
                <w:rFonts w:hint="eastAsia" w:ascii="宋体" w:hAnsi="宋体" w:eastAsia="宋体" w:cs="宋体"/>
                <w:color w:val="000000"/>
                <w:sz w:val="22"/>
                <w:szCs w:val="22"/>
              </w:rPr>
            </w:pPr>
          </w:p>
        </w:tc>
      </w:tr>
    </w:tbl>
    <w:p w14:paraId="4821482B">
      <w:pPr>
        <w:spacing w:line="500" w:lineRule="exact"/>
        <w:jc w:val="center"/>
        <w:rPr>
          <w:rFonts w:hint="eastAsia" w:ascii="宋体" w:hAnsi="宋体" w:eastAsia="宋体" w:cs="宋体"/>
          <w:color w:val="000000"/>
          <w:sz w:val="24"/>
        </w:rPr>
      </w:pPr>
    </w:p>
    <w:p w14:paraId="521F368C">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4107FCC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5E3ED00">
      <w:pPr>
        <w:spacing w:line="500" w:lineRule="exact"/>
        <w:jc w:val="center"/>
        <w:rPr>
          <w:rFonts w:hint="eastAsia" w:ascii="宋体" w:hAnsi="宋体" w:eastAsia="宋体" w:cs="宋体"/>
          <w:color w:val="000000"/>
          <w:sz w:val="24"/>
        </w:rPr>
      </w:pPr>
    </w:p>
    <w:p w14:paraId="1346044E">
      <w:pPr>
        <w:spacing w:line="500" w:lineRule="exact"/>
        <w:jc w:val="center"/>
        <w:rPr>
          <w:rFonts w:hint="eastAsia" w:ascii="宋体" w:hAnsi="宋体" w:eastAsia="宋体" w:cs="宋体"/>
          <w:color w:val="000000"/>
          <w:sz w:val="24"/>
        </w:rPr>
      </w:pPr>
    </w:p>
    <w:p w14:paraId="7F80EEEC">
      <w:pPr>
        <w:spacing w:line="500" w:lineRule="exact"/>
        <w:jc w:val="center"/>
        <w:rPr>
          <w:rFonts w:hint="eastAsia" w:ascii="宋体" w:hAnsi="宋体" w:eastAsia="宋体" w:cs="宋体"/>
          <w:color w:val="000000"/>
          <w:sz w:val="24"/>
        </w:rPr>
      </w:pPr>
    </w:p>
    <w:p w14:paraId="79F89B43">
      <w:pPr>
        <w:spacing w:line="500" w:lineRule="exact"/>
        <w:jc w:val="center"/>
        <w:rPr>
          <w:rFonts w:hint="eastAsia" w:ascii="宋体" w:hAnsi="宋体" w:eastAsia="宋体" w:cs="宋体"/>
          <w:color w:val="000000"/>
          <w:sz w:val="24"/>
        </w:rPr>
      </w:pPr>
    </w:p>
    <w:p w14:paraId="102279E0">
      <w:pPr>
        <w:pStyle w:val="6"/>
        <w:rPr>
          <w:rFonts w:hint="eastAsia" w:ascii="宋体" w:hAnsi="宋体" w:eastAsia="宋体" w:cs="宋体"/>
          <w:color w:val="000000"/>
          <w:sz w:val="24"/>
          <w:szCs w:val="24"/>
        </w:rPr>
      </w:pPr>
      <w:bookmarkStart w:id="30" w:name="_Toc24205"/>
      <w:bookmarkStart w:id="31" w:name="_Toc1715"/>
      <w:r>
        <w:rPr>
          <w:rFonts w:hint="eastAsia" w:ascii="宋体" w:hAnsi="宋体" w:eastAsia="宋体" w:cs="宋体"/>
          <w:color w:val="000000"/>
          <w:sz w:val="24"/>
          <w:szCs w:val="24"/>
        </w:rPr>
        <w:t>附件二</w:t>
      </w:r>
      <w:bookmarkEnd w:id="30"/>
      <w:bookmarkEnd w:id="31"/>
    </w:p>
    <w:p w14:paraId="589C4B66">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7E38DC7">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B6F5B74">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顶空气相色谱仪设备采购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A73E3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7EE8EC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B492C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2BCECB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EDD13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F7F8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B5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515C6DA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71EBE16F">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33E43175">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5EC06B86">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516497A">
      <w:pPr>
        <w:jc w:val="center"/>
        <w:rPr>
          <w:rFonts w:hint="eastAsia" w:ascii="宋体" w:hAnsi="宋体" w:eastAsia="宋体" w:cs="宋体"/>
          <w:b/>
          <w:color w:val="000000"/>
          <w:sz w:val="24"/>
          <w:szCs w:val="24"/>
        </w:rPr>
      </w:pPr>
    </w:p>
    <w:p w14:paraId="0BCFE05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782099A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0"/>
        <w:tblW w:w="9543" w:type="dxa"/>
        <w:tblInd w:w="93" w:type="dxa"/>
        <w:tblLayout w:type="fixed"/>
        <w:tblCellMar>
          <w:top w:w="0" w:type="dxa"/>
          <w:left w:w="108" w:type="dxa"/>
          <w:bottom w:w="0" w:type="dxa"/>
          <w:right w:w="108" w:type="dxa"/>
        </w:tblCellMar>
      </w:tblPr>
      <w:tblGrid>
        <w:gridCol w:w="851"/>
        <w:gridCol w:w="3960"/>
        <w:gridCol w:w="928"/>
        <w:gridCol w:w="1268"/>
        <w:gridCol w:w="736"/>
        <w:gridCol w:w="1800"/>
      </w:tblGrid>
      <w:tr w14:paraId="5BCA51BB">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9044A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8D41EC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55AE2FC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1268" w:type="dxa"/>
            <w:tcBorders>
              <w:top w:val="single" w:color="auto" w:sz="4" w:space="0"/>
              <w:left w:val="nil"/>
              <w:bottom w:val="single" w:color="auto" w:sz="4" w:space="0"/>
              <w:right w:val="single" w:color="auto" w:sz="4" w:space="0"/>
            </w:tcBorders>
            <w:shd w:val="clear" w:color="auto" w:fill="FFFFFF"/>
            <w:vAlign w:val="center"/>
          </w:tcPr>
          <w:p w14:paraId="6EDF426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736" w:type="dxa"/>
            <w:tcBorders>
              <w:top w:val="single" w:color="auto" w:sz="4" w:space="0"/>
              <w:left w:val="nil"/>
              <w:bottom w:val="single" w:color="auto" w:sz="4" w:space="0"/>
              <w:right w:val="single" w:color="auto" w:sz="4" w:space="0"/>
            </w:tcBorders>
            <w:shd w:val="clear" w:color="auto" w:fill="FFFFFF"/>
            <w:vAlign w:val="center"/>
          </w:tcPr>
          <w:p w14:paraId="7CCE75A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tc>
        <w:tc>
          <w:tcPr>
            <w:tcW w:w="1800" w:type="dxa"/>
            <w:tcBorders>
              <w:top w:val="single" w:color="auto" w:sz="4" w:space="0"/>
              <w:left w:val="nil"/>
              <w:bottom w:val="single" w:color="auto" w:sz="4" w:space="0"/>
              <w:right w:val="single" w:color="auto" w:sz="4" w:space="0"/>
            </w:tcBorders>
            <w:shd w:val="clear" w:color="auto" w:fill="FFFFFF"/>
            <w:vAlign w:val="center"/>
          </w:tcPr>
          <w:p w14:paraId="5B3746E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金额</w:t>
            </w:r>
          </w:p>
        </w:tc>
      </w:tr>
      <w:tr w14:paraId="495F0FA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CEB78A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3960" w:type="dxa"/>
            <w:tcBorders>
              <w:top w:val="nil"/>
              <w:left w:val="nil"/>
              <w:bottom w:val="single" w:color="auto" w:sz="4" w:space="0"/>
              <w:right w:val="single" w:color="auto" w:sz="4" w:space="0"/>
            </w:tcBorders>
            <w:shd w:val="clear" w:color="auto" w:fill="FFFFFF"/>
            <w:vAlign w:val="center"/>
          </w:tcPr>
          <w:p w14:paraId="79E49B8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64D5266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1C72E0BC">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62E75D18">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1F0B474D">
            <w:pPr>
              <w:spacing w:line="360" w:lineRule="auto"/>
              <w:ind w:firstLine="480" w:firstLineChars="200"/>
              <w:jc w:val="center"/>
              <w:rPr>
                <w:rFonts w:hint="eastAsia" w:ascii="宋体" w:hAnsi="宋体" w:eastAsia="宋体" w:cs="宋体"/>
                <w:color w:val="000000"/>
                <w:sz w:val="24"/>
                <w:szCs w:val="24"/>
              </w:rPr>
            </w:pPr>
          </w:p>
        </w:tc>
      </w:tr>
      <w:tr w14:paraId="12F0956A">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62227B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3960" w:type="dxa"/>
            <w:tcBorders>
              <w:top w:val="nil"/>
              <w:left w:val="nil"/>
              <w:bottom w:val="single" w:color="auto" w:sz="4" w:space="0"/>
              <w:right w:val="single" w:color="auto" w:sz="4" w:space="0"/>
            </w:tcBorders>
            <w:shd w:val="clear" w:color="auto" w:fill="FFFFFF"/>
            <w:vAlign w:val="center"/>
          </w:tcPr>
          <w:p w14:paraId="5B65C7E6">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61FF23A">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0999E27B">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3C40C1CA">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68F5756A">
            <w:pPr>
              <w:spacing w:line="360" w:lineRule="auto"/>
              <w:ind w:firstLine="480" w:firstLineChars="200"/>
              <w:jc w:val="center"/>
              <w:rPr>
                <w:rFonts w:hint="eastAsia" w:ascii="宋体" w:hAnsi="宋体" w:eastAsia="宋体" w:cs="宋体"/>
                <w:color w:val="000000"/>
                <w:sz w:val="24"/>
                <w:szCs w:val="24"/>
              </w:rPr>
            </w:pPr>
          </w:p>
        </w:tc>
      </w:tr>
      <w:tr w14:paraId="0984367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E08B47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3960" w:type="dxa"/>
            <w:tcBorders>
              <w:top w:val="nil"/>
              <w:left w:val="nil"/>
              <w:bottom w:val="single" w:color="auto" w:sz="4" w:space="0"/>
              <w:right w:val="single" w:color="auto" w:sz="4" w:space="0"/>
            </w:tcBorders>
            <w:shd w:val="clear" w:color="auto" w:fill="FFFFFF"/>
            <w:vAlign w:val="center"/>
          </w:tcPr>
          <w:p w14:paraId="27DFE517">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F457454">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6076EA38">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0F84A694">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5E6E2B54">
            <w:pPr>
              <w:spacing w:line="360" w:lineRule="auto"/>
              <w:ind w:firstLine="480" w:firstLineChars="200"/>
              <w:jc w:val="center"/>
              <w:rPr>
                <w:rFonts w:hint="eastAsia" w:ascii="宋体" w:hAnsi="宋体" w:eastAsia="宋体" w:cs="宋体"/>
                <w:color w:val="000000"/>
                <w:sz w:val="24"/>
                <w:szCs w:val="24"/>
              </w:rPr>
            </w:pPr>
          </w:p>
        </w:tc>
      </w:tr>
      <w:tr w14:paraId="52021088">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18D80B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3960" w:type="dxa"/>
            <w:tcBorders>
              <w:top w:val="nil"/>
              <w:left w:val="nil"/>
              <w:bottom w:val="single" w:color="auto" w:sz="4" w:space="0"/>
              <w:right w:val="single" w:color="auto" w:sz="4" w:space="0"/>
            </w:tcBorders>
            <w:shd w:val="clear" w:color="auto" w:fill="FFFFFF"/>
            <w:vAlign w:val="center"/>
          </w:tcPr>
          <w:p w14:paraId="2C2FDB0B">
            <w:pPr>
              <w:spacing w:line="360" w:lineRule="auto"/>
              <w:ind w:firstLine="480" w:firstLineChars="200"/>
              <w:jc w:val="center"/>
              <w:rPr>
                <w:rFonts w:hint="eastAsia" w:ascii="宋体" w:hAnsi="宋体" w:eastAsia="宋体" w:cs="宋体"/>
                <w:color w:val="000000"/>
                <w:sz w:val="24"/>
                <w:szCs w:val="24"/>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1D289421">
            <w:pPr>
              <w:spacing w:line="360" w:lineRule="auto"/>
              <w:ind w:firstLine="480" w:firstLineChars="200"/>
              <w:jc w:val="center"/>
              <w:rPr>
                <w:rFonts w:hint="eastAsia" w:ascii="宋体" w:hAnsi="宋体" w:eastAsia="宋体" w:cs="宋体"/>
                <w:color w:val="000000"/>
                <w:sz w:val="24"/>
                <w:szCs w:val="24"/>
              </w:rPr>
            </w:pPr>
          </w:p>
        </w:tc>
        <w:tc>
          <w:tcPr>
            <w:tcW w:w="1268" w:type="dxa"/>
            <w:tcBorders>
              <w:top w:val="nil"/>
              <w:left w:val="nil"/>
              <w:bottom w:val="single" w:color="auto" w:sz="4" w:space="0"/>
              <w:right w:val="single" w:color="auto" w:sz="4" w:space="0"/>
            </w:tcBorders>
            <w:shd w:val="clear" w:color="auto" w:fill="FFFFFF"/>
            <w:vAlign w:val="center"/>
          </w:tcPr>
          <w:p w14:paraId="3F8BD3C6">
            <w:pPr>
              <w:spacing w:line="360" w:lineRule="auto"/>
              <w:ind w:firstLine="480" w:firstLineChars="200"/>
              <w:jc w:val="center"/>
              <w:rPr>
                <w:rFonts w:hint="eastAsia" w:ascii="宋体" w:hAnsi="宋体" w:eastAsia="宋体" w:cs="宋体"/>
                <w:color w:val="000000"/>
                <w:sz w:val="24"/>
                <w:szCs w:val="24"/>
              </w:rPr>
            </w:pPr>
          </w:p>
        </w:tc>
        <w:tc>
          <w:tcPr>
            <w:tcW w:w="736" w:type="dxa"/>
            <w:tcBorders>
              <w:top w:val="nil"/>
              <w:left w:val="nil"/>
              <w:bottom w:val="single" w:color="auto" w:sz="4" w:space="0"/>
              <w:right w:val="single" w:color="auto" w:sz="4" w:space="0"/>
            </w:tcBorders>
            <w:shd w:val="clear" w:color="auto" w:fill="FFFFFF"/>
            <w:vAlign w:val="center"/>
          </w:tcPr>
          <w:p w14:paraId="5DE50ACE">
            <w:pPr>
              <w:spacing w:line="360" w:lineRule="auto"/>
              <w:ind w:firstLine="480" w:firstLineChars="200"/>
              <w:jc w:val="center"/>
              <w:rPr>
                <w:rFonts w:hint="eastAsia" w:ascii="宋体" w:hAnsi="宋体" w:eastAsia="宋体" w:cs="宋体"/>
                <w:color w:val="000000"/>
                <w:sz w:val="24"/>
                <w:szCs w:val="24"/>
              </w:rPr>
            </w:pPr>
          </w:p>
        </w:tc>
        <w:tc>
          <w:tcPr>
            <w:tcW w:w="1800" w:type="dxa"/>
            <w:tcBorders>
              <w:top w:val="nil"/>
              <w:left w:val="nil"/>
              <w:bottom w:val="single" w:color="auto" w:sz="4" w:space="0"/>
              <w:right w:val="single" w:color="auto" w:sz="4" w:space="0"/>
            </w:tcBorders>
            <w:shd w:val="clear" w:color="auto" w:fill="FFFFFF"/>
            <w:vAlign w:val="center"/>
          </w:tcPr>
          <w:p w14:paraId="4ECC1E98">
            <w:pPr>
              <w:spacing w:line="360" w:lineRule="auto"/>
              <w:ind w:firstLine="480" w:firstLineChars="200"/>
              <w:jc w:val="center"/>
              <w:rPr>
                <w:rFonts w:hint="eastAsia" w:ascii="宋体" w:hAnsi="宋体" w:eastAsia="宋体" w:cs="宋体"/>
                <w:color w:val="000000"/>
                <w:sz w:val="24"/>
                <w:szCs w:val="24"/>
              </w:rPr>
            </w:pPr>
          </w:p>
        </w:tc>
      </w:tr>
      <w:tr w14:paraId="0A758AB9">
        <w:tblPrEx>
          <w:tblCellMar>
            <w:top w:w="0" w:type="dxa"/>
            <w:left w:w="108" w:type="dxa"/>
            <w:bottom w:w="0" w:type="dxa"/>
            <w:right w:w="108" w:type="dxa"/>
          </w:tblCellMar>
        </w:tblPrEx>
        <w:trPr>
          <w:trHeight w:val="454" w:hRule="atLeast"/>
        </w:trPr>
        <w:tc>
          <w:tcPr>
            <w:tcW w:w="7743" w:type="dxa"/>
            <w:gridSpan w:val="5"/>
            <w:tcBorders>
              <w:top w:val="nil"/>
              <w:left w:val="single" w:color="auto" w:sz="4" w:space="0"/>
              <w:bottom w:val="single" w:color="auto" w:sz="4" w:space="0"/>
              <w:right w:val="single" w:color="auto" w:sz="4" w:space="0"/>
            </w:tcBorders>
            <w:shd w:val="clear" w:color="auto" w:fill="FFFFFF"/>
            <w:vAlign w:val="center"/>
          </w:tcPr>
          <w:p w14:paraId="234B7D1D">
            <w:pPr>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响应报价合计（元）</w:t>
            </w:r>
          </w:p>
        </w:tc>
        <w:tc>
          <w:tcPr>
            <w:tcW w:w="1800" w:type="dxa"/>
            <w:tcBorders>
              <w:top w:val="nil"/>
              <w:left w:val="single" w:color="auto" w:sz="4" w:space="0"/>
              <w:bottom w:val="single" w:color="auto" w:sz="4" w:space="0"/>
              <w:right w:val="single" w:color="auto" w:sz="4" w:space="0"/>
            </w:tcBorders>
            <w:shd w:val="clear" w:color="auto" w:fill="FFFFFF"/>
            <w:vAlign w:val="center"/>
          </w:tcPr>
          <w:p w14:paraId="115128AA">
            <w:pPr>
              <w:spacing w:line="360" w:lineRule="auto"/>
              <w:ind w:firstLine="480" w:firstLineChars="200"/>
              <w:jc w:val="center"/>
              <w:rPr>
                <w:rFonts w:hint="eastAsia" w:ascii="宋体" w:hAnsi="宋体" w:eastAsia="宋体" w:cs="宋体"/>
                <w:color w:val="000000"/>
                <w:sz w:val="24"/>
                <w:szCs w:val="24"/>
              </w:rPr>
            </w:pPr>
          </w:p>
        </w:tc>
      </w:tr>
    </w:tbl>
    <w:p w14:paraId="3FC195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14469A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C7637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pPr>
        <w:spacing w:line="360" w:lineRule="auto"/>
        <w:ind w:firstLine="480" w:firstLineChars="200"/>
        <w:rPr>
          <w:rFonts w:hint="eastAsia" w:ascii="宋体" w:hAnsi="宋体" w:eastAsia="宋体" w:cs="宋体"/>
          <w:color w:val="000000"/>
          <w:sz w:val="24"/>
          <w:szCs w:val="24"/>
        </w:rPr>
      </w:pPr>
    </w:p>
    <w:p w14:paraId="77834337">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8E95E6A">
      <w:pPr>
        <w:pStyle w:val="6"/>
        <w:rPr>
          <w:rFonts w:hint="eastAsia" w:ascii="宋体" w:hAnsi="宋体" w:eastAsia="宋体" w:cs="宋体"/>
          <w:color w:val="000000"/>
          <w:sz w:val="24"/>
          <w:szCs w:val="24"/>
        </w:rPr>
      </w:pPr>
      <w:bookmarkStart w:id="34" w:name="_Toc29251"/>
      <w:bookmarkStart w:id="35" w:name="_Toc6818"/>
      <w:r>
        <w:rPr>
          <w:rFonts w:hint="eastAsia" w:ascii="宋体" w:hAnsi="宋体" w:eastAsia="宋体" w:cs="宋体"/>
          <w:color w:val="000000"/>
          <w:sz w:val="24"/>
          <w:szCs w:val="24"/>
        </w:rPr>
        <w:t>附件四</w:t>
      </w:r>
      <w:bookmarkEnd w:id="34"/>
    </w:p>
    <w:p w14:paraId="32673E08">
      <w:pPr>
        <w:keepNext/>
        <w:keepLines/>
        <w:widowControl/>
        <w:adjustRightInd w:val="0"/>
        <w:snapToGrid w:val="0"/>
        <w:spacing w:line="360" w:lineRule="auto"/>
        <w:jc w:val="center"/>
        <w:rPr>
          <w:rFonts w:hint="eastAsia" w:ascii="仿宋" w:hAnsi="仿宋" w:eastAsia="仿宋" w:cs="仿宋"/>
          <w:b/>
          <w:sz w:val="32"/>
          <w:szCs w:val="32"/>
        </w:rPr>
      </w:pPr>
      <w:bookmarkStart w:id="36" w:name="_Toc72431438"/>
      <w:bookmarkStart w:id="37" w:name="_Toc72431762"/>
      <w:r>
        <w:rPr>
          <w:rFonts w:hint="eastAsia" w:ascii="仿宋" w:hAnsi="仿宋" w:eastAsia="仿宋" w:cs="仿宋"/>
          <w:b/>
          <w:sz w:val="32"/>
          <w:szCs w:val="32"/>
        </w:rPr>
        <w:t>书面承诺函</w:t>
      </w:r>
      <w:bookmarkEnd w:id="36"/>
      <w:bookmarkEnd w:id="37"/>
    </w:p>
    <w:p w14:paraId="12E39650">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0766B662">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392039BD">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396FCCA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68B01C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19805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A3185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12F4F5C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B743C3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04EAC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74674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5D73B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4AACFD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7128A29">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580F8DF5">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5DB59EC">
      <w:pPr>
        <w:pStyle w:val="6"/>
        <w:rPr>
          <w:rFonts w:hint="eastAsia" w:ascii="宋体" w:hAnsi="宋体" w:eastAsia="宋体" w:cs="宋体"/>
          <w:color w:val="000000"/>
          <w:sz w:val="24"/>
          <w:szCs w:val="24"/>
        </w:rPr>
      </w:pPr>
      <w:bookmarkStart w:id="38" w:name="_Toc13447"/>
      <w:r>
        <w:rPr>
          <w:rFonts w:hint="eastAsia" w:ascii="宋体" w:hAnsi="宋体" w:eastAsia="宋体" w:cs="宋体"/>
          <w:color w:val="000000"/>
          <w:sz w:val="24"/>
          <w:szCs w:val="24"/>
        </w:rPr>
        <w:t>附件</w:t>
      </w:r>
      <w:bookmarkEnd w:id="35"/>
      <w:r>
        <w:rPr>
          <w:rFonts w:hint="eastAsia" w:ascii="宋体" w:hAnsi="宋体" w:eastAsia="宋体" w:cs="宋体"/>
          <w:color w:val="000000"/>
          <w:sz w:val="24"/>
          <w:szCs w:val="24"/>
        </w:rPr>
        <w:t>五</w:t>
      </w:r>
      <w:bookmarkEnd w:id="38"/>
    </w:p>
    <w:p w14:paraId="0AC62032">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0DBF5B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76F747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62B9941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B30DD1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E406A0D">
      <w:pPr>
        <w:spacing w:line="360" w:lineRule="auto"/>
        <w:rPr>
          <w:rFonts w:hint="eastAsia" w:ascii="宋体" w:hAnsi="宋体" w:eastAsia="宋体" w:cs="宋体"/>
          <w:color w:val="000000"/>
          <w:sz w:val="24"/>
          <w:szCs w:val="24"/>
        </w:rPr>
      </w:pPr>
    </w:p>
    <w:p w14:paraId="0237CCBB">
      <w:pPr>
        <w:rPr>
          <w:rFonts w:hint="eastAsia" w:ascii="宋体" w:hAnsi="宋体" w:eastAsia="宋体" w:cs="宋体"/>
          <w:color w:val="000000"/>
        </w:rPr>
      </w:pPr>
    </w:p>
    <w:p w14:paraId="63497EEB">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09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B3A4E42">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90F">
    <w:pPr>
      <w:pStyle w:val="20"/>
      <w:framePr w:wrap="around" w:vAnchor="text" w:hAnchor="margin" w:xAlign="center" w:y="1"/>
      <w:rPr>
        <w:rStyle w:val="33"/>
        <w:rFonts w:hint="eastAsia"/>
      </w:rPr>
    </w:pPr>
    <w:r>
      <w:fldChar w:fldCharType="begin"/>
    </w:r>
    <w:r>
      <w:rPr>
        <w:rStyle w:val="33"/>
      </w:rPr>
      <w:instrText xml:space="preserve">PAGE  </w:instrText>
    </w:r>
    <w:r>
      <w:fldChar w:fldCharType="separate"/>
    </w:r>
    <w:r>
      <w:rPr>
        <w:rStyle w:val="33"/>
      </w:rPr>
      <w:t>9</w:t>
    </w:r>
    <w:r>
      <w:fldChar w:fldCharType="end"/>
    </w:r>
  </w:p>
  <w:p w14:paraId="1497A358">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B52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0828924D">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5E2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50E9">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F1">
    <w:pPr>
      <w:pStyle w:val="21"/>
      <w:framePr w:wrap="around" w:vAnchor="text" w:hAnchor="margin" w:xAlign="right" w:y="1"/>
      <w:rPr>
        <w:rStyle w:val="33"/>
        <w:rFonts w:hint="eastAsia"/>
      </w:rPr>
    </w:pPr>
    <w:r>
      <w:fldChar w:fldCharType="begin"/>
    </w:r>
    <w:r>
      <w:rPr>
        <w:rStyle w:val="33"/>
      </w:rPr>
      <w:instrText xml:space="preserve">PAGE  </w:instrText>
    </w:r>
    <w:r>
      <w:rPr>
        <w:rFonts w:hint="eastAsia"/>
      </w:rPr>
      <w:fldChar w:fldCharType="separate"/>
    </w:r>
    <w:r>
      <w:fldChar w:fldCharType="end"/>
    </w:r>
  </w:p>
  <w:p w14:paraId="1E342C84">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4885"/>
    <w:rsid w:val="001640A4"/>
    <w:rsid w:val="00166147"/>
    <w:rsid w:val="001661CE"/>
    <w:rsid w:val="001728C8"/>
    <w:rsid w:val="001731C7"/>
    <w:rsid w:val="00173E5A"/>
    <w:rsid w:val="00177E1E"/>
    <w:rsid w:val="00184918"/>
    <w:rsid w:val="001868EA"/>
    <w:rsid w:val="00186A0F"/>
    <w:rsid w:val="00186D88"/>
    <w:rsid w:val="001937EE"/>
    <w:rsid w:val="00194D9C"/>
    <w:rsid w:val="00195319"/>
    <w:rsid w:val="001A0370"/>
    <w:rsid w:val="001A4F7A"/>
    <w:rsid w:val="001A66A2"/>
    <w:rsid w:val="001B20AB"/>
    <w:rsid w:val="001B31B1"/>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7317B"/>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7A9E"/>
    <w:rsid w:val="00333D55"/>
    <w:rsid w:val="00334ECF"/>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126D0"/>
    <w:rsid w:val="009255D8"/>
    <w:rsid w:val="00930B4C"/>
    <w:rsid w:val="00930DBA"/>
    <w:rsid w:val="00934853"/>
    <w:rsid w:val="0094388F"/>
    <w:rsid w:val="009540D9"/>
    <w:rsid w:val="009610C8"/>
    <w:rsid w:val="0097261B"/>
    <w:rsid w:val="009745E3"/>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A0729"/>
    <w:rsid w:val="00DB02D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4674B"/>
    <w:rsid w:val="00E477E5"/>
    <w:rsid w:val="00E531C8"/>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765C"/>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7AD2603"/>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7"/>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38"/>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39"/>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0"/>
    <w:qFormat/>
    <w:uiPriority w:val="0"/>
    <w:pPr>
      <w:tabs>
        <w:tab w:val="center" w:pos="4153"/>
        <w:tab w:val="right" w:pos="8306"/>
      </w:tabs>
      <w:snapToGrid w:val="0"/>
      <w:jc w:val="left"/>
    </w:pPr>
    <w:rPr>
      <w:sz w:val="18"/>
      <w:szCs w:val="18"/>
    </w:rPr>
  </w:style>
  <w:style w:type="paragraph" w:styleId="21">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Body Text First Indent 2"/>
    <w:basedOn w:val="11"/>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4"/>
    <w:qFormat/>
    <w:uiPriority w:val="0"/>
    <w:rPr>
      <w:rFonts w:eastAsia="宋体"/>
      <w:kern w:val="2"/>
      <w:sz w:val="28"/>
      <w:szCs w:val="24"/>
      <w:lang w:val="en-US" w:eastAsia="zh-CN" w:bidi="ar-SA"/>
    </w:rPr>
  </w:style>
  <w:style w:type="character" w:customStyle="1" w:styleId="38">
    <w:name w:val="批注文字 字符"/>
    <w:link w:val="10"/>
    <w:qFormat/>
    <w:uiPriority w:val="0"/>
    <w:rPr>
      <w:rFonts w:eastAsia="宋体"/>
      <w:kern w:val="2"/>
      <w:sz w:val="21"/>
      <w:lang w:val="en-US" w:eastAsia="zh-CN" w:bidi="ar-SA"/>
    </w:rPr>
  </w:style>
  <w:style w:type="character" w:customStyle="1" w:styleId="39">
    <w:name w:val="日期 字符"/>
    <w:link w:val="17"/>
    <w:qFormat/>
    <w:uiPriority w:val="0"/>
    <w:rPr>
      <w:rFonts w:ascii="Arial" w:hAnsi="Arial" w:eastAsia="楷体_GB2312"/>
      <w:kern w:val="2"/>
      <w:sz w:val="28"/>
      <w:lang w:bidi="ar-SA"/>
    </w:rPr>
  </w:style>
  <w:style w:type="character" w:customStyle="1" w:styleId="40">
    <w:name w:val="页脚 字符"/>
    <w:link w:val="20"/>
    <w:qFormat/>
    <w:uiPriority w:val="0"/>
    <w:rPr>
      <w:kern w:val="2"/>
      <w:sz w:val="18"/>
      <w:szCs w:val="18"/>
    </w:rPr>
  </w:style>
  <w:style w:type="character" w:customStyle="1" w:styleId="41">
    <w:name w:val="页眉 字符"/>
    <w:link w:val="21"/>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5"/>
    <w:qFormat/>
    <w:uiPriority w:val="0"/>
    <w:pPr>
      <w:spacing w:line="240" w:lineRule="auto"/>
    </w:pPr>
    <w:rPr>
      <w:rFonts w:ascii="宋体" w:hAnsi="宋体" w:eastAsia="宋体"/>
      <w:sz w:val="21"/>
    </w:rPr>
  </w:style>
  <w:style w:type="paragraph" w:customStyle="1" w:styleId="78">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20</Pages>
  <Words>7157</Words>
  <Characters>7460</Characters>
  <Lines>62</Lines>
  <Paragraphs>17</Paragraphs>
  <TotalTime>32</TotalTime>
  <ScaleCrop>false</ScaleCrop>
  <LinksUpToDate>false</LinksUpToDate>
  <CharactersWithSpaces>7764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2025-03-17T01:53:34Z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0F6902D11C444611A2C089468B2F1447_13</vt:lpwstr>
  </property>
  <property fmtid="{D5CDD505-2E9C-101B-9397-08002B2CF9AE}" pid="4" name="KSOTemplateDocerSaveRecord">
    <vt:lpwstr>eyJoZGlkIjoiNTUyMTFkZDc3YzZlYmNlYmUxMWUyYjZkMzBlZjExNGIiLCJ1c2VySWQiOiI2ODM4MTg5ODEifQ==</vt:lpwstr>
  </property>
</Properties>
</file>