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7E658680">
      <w:pPr>
        <w:pStyle w:val="29"/>
        <w:rPr>
          <w:rFonts w:hint="eastAsia"/>
        </w:rPr>
      </w:pPr>
    </w:p>
    <w:p w14:paraId="17E5EB3E">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强化耐腐蚀PVC采购</w:t>
      </w:r>
    </w:p>
    <w:p w14:paraId="0CEAD8DD">
      <w:pPr>
        <w:widowControl/>
        <w:spacing w:line="276" w:lineRule="auto"/>
        <w:jc w:val="center"/>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int="eastAsia" w:hAnsi="宋体" w:eastAsia="宋体" w:cs="宋体"/>
        </w:rPr>
      </w:pPr>
    </w:p>
    <w:p w14:paraId="65B502DD">
      <w:pPr>
        <w:pStyle w:val="76"/>
        <w:spacing w:line="360" w:lineRule="auto"/>
        <w:rPr>
          <w:rFonts w:hint="eastAsia" w:hAnsi="宋体" w:eastAsia="宋体" w:cs="宋体"/>
        </w:rPr>
      </w:pPr>
    </w:p>
    <w:p w14:paraId="6C3BB6C4">
      <w:pPr>
        <w:pStyle w:val="76"/>
        <w:spacing w:line="360" w:lineRule="auto"/>
        <w:rPr>
          <w:rFonts w:hint="eastAsia" w:hAnsi="宋体" w:eastAsia="宋体" w:cs="宋体"/>
        </w:rPr>
      </w:pPr>
    </w:p>
    <w:p w14:paraId="49DF7F47">
      <w:pPr>
        <w:pStyle w:val="76"/>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21F390D5">
      <w:pPr>
        <w:widowControl/>
        <w:rPr>
          <w:rFonts w:hint="eastAsia" w:ascii="宋体" w:hAnsi="宋体" w:eastAsia="宋体" w:cs="宋体"/>
          <w:b/>
          <w:kern w:val="0"/>
          <w:sz w:val="28"/>
        </w:rPr>
      </w:pPr>
    </w:p>
    <w:p w14:paraId="1807F6F3">
      <w:pPr>
        <w:widowControl/>
        <w:rPr>
          <w:rFonts w:hint="eastAsia" w:ascii="宋体" w:hAnsi="宋体" w:eastAsia="宋体" w:cs="宋体"/>
          <w:b/>
          <w:kern w:val="0"/>
          <w:sz w:val="28"/>
        </w:rPr>
      </w:pPr>
    </w:p>
    <w:p w14:paraId="04998B44">
      <w:pPr>
        <w:widowControl/>
        <w:rPr>
          <w:rFonts w:hint="eastAsia" w:ascii="宋体" w:hAnsi="宋体" w:eastAsia="宋体" w:cs="宋体"/>
          <w:b/>
          <w:kern w:val="0"/>
          <w:sz w:val="28"/>
        </w:rPr>
      </w:pPr>
    </w:p>
    <w:p w14:paraId="11807205">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2025年4月25日</w:t>
      </w:r>
      <w:r>
        <w:rPr>
          <w:rFonts w:hint="eastAsia" w:ascii="宋体" w:hAnsi="宋体" w:eastAsia="宋体" w:cs="宋体"/>
          <w:b/>
          <w:color w:val="000000"/>
          <w:sz w:val="24"/>
          <w:szCs w:val="24"/>
        </w:rPr>
        <w:br w:type="page"/>
      </w:r>
    </w:p>
    <w:p w14:paraId="0C5FC9BC">
      <w:pPr>
        <w:rPr>
          <w:rFonts w:hint="eastAsia" w:ascii="宋体" w:hAnsi="宋体" w:eastAsia="宋体" w:cs="宋体"/>
          <w:b/>
          <w:color w:val="000000"/>
          <w:sz w:val="24"/>
          <w:szCs w:val="24"/>
        </w:rPr>
      </w:pPr>
    </w:p>
    <w:p w14:paraId="51CAE466">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6FA8F23F">
      <w:pPr>
        <w:jc w:val="center"/>
        <w:rPr>
          <w:rFonts w:hint="eastAsia" w:ascii="宋体" w:hAnsi="宋体" w:eastAsia="宋体" w:cs="宋体"/>
          <w:b/>
          <w:color w:val="000000"/>
          <w:sz w:val="24"/>
          <w:szCs w:val="24"/>
        </w:rPr>
      </w:pPr>
    </w:p>
    <w:p w14:paraId="3F6248E2">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DB79A9">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4CD702D7">
      <w:pPr>
        <w:spacing w:line="360" w:lineRule="auto"/>
        <w:rPr>
          <w:rFonts w:hint="eastAsia" w:ascii="宋体" w:hAnsi="宋体" w:eastAsia="宋体" w:cs="宋体"/>
          <w:color w:val="000000"/>
          <w:sz w:val="24"/>
          <w:szCs w:val="24"/>
        </w:rPr>
      </w:pPr>
    </w:p>
    <w:p w14:paraId="6F94BFA7">
      <w:pPr>
        <w:spacing w:line="360" w:lineRule="auto"/>
        <w:rPr>
          <w:rFonts w:hint="eastAsia" w:ascii="宋体" w:hAnsi="宋体" w:eastAsia="宋体" w:cs="宋体"/>
          <w:color w:val="000000"/>
          <w:sz w:val="24"/>
          <w:szCs w:val="24"/>
        </w:rPr>
      </w:pPr>
    </w:p>
    <w:p w14:paraId="388969C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0AAC81F7">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hint="eastAsia" w:ascii="宋体" w:hAnsi="宋体" w:eastAsia="宋体" w:cs="宋体"/>
          <w:color w:val="000000"/>
          <w:sz w:val="24"/>
          <w:szCs w:val="24"/>
        </w:rPr>
      </w:pPr>
    </w:p>
    <w:p w14:paraId="5BA00888">
      <w:pPr>
        <w:pStyle w:val="88"/>
        <w:widowControl w:val="0"/>
        <w:autoSpaceDE w:val="0"/>
        <w:autoSpaceDN w:val="0"/>
        <w:adjustRightInd w:val="0"/>
        <w:snapToGrid w:val="0"/>
        <w:spacing w:before="0" w:after="0" w:line="360" w:lineRule="auto"/>
        <w:jc w:val="both"/>
        <w:rPr>
          <w:rFonts w:hint="eastAsia" w:ascii="宋体" w:hAnsi="宋体" w:eastAsia="宋体" w:cs="宋体"/>
          <w:szCs w:val="24"/>
          <w:u w:val="none"/>
        </w:rPr>
      </w:pPr>
      <w:bookmarkStart w:id="3" w:name="_Toc15035054"/>
      <w:bookmarkStart w:id="40" w:name="_GoBack"/>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“强化耐腐蚀PVC采购”项目</w:t>
      </w:r>
      <w:r>
        <w:rPr>
          <w:rFonts w:hint="eastAsia" w:ascii="宋体" w:hAnsi="宋体" w:eastAsia="宋体" w:cs="宋体"/>
          <w:szCs w:val="24"/>
          <w:u w:val="none"/>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3、项目名称：强化耐腐蚀PVC采购</w:t>
      </w:r>
    </w:p>
    <w:p w14:paraId="3B19B576">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4、采购内容：强化耐腐蚀PVC采购，具体详见采购需求。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3D6D8D04">
      <w:pPr>
        <w:spacing w:line="360" w:lineRule="auto"/>
        <w:ind w:firstLine="240" w:firstLineChars="100"/>
        <w:jc w:val="left"/>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2EC79DD5">
      <w:pPr>
        <w:pStyle w:val="15"/>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2025年4月30日15：00（北京时间）</w:t>
      </w:r>
    </w:p>
    <w:p w14:paraId="3AFEC3E1">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3、响应文件递交：</w:t>
      </w:r>
    </w:p>
    <w:p w14:paraId="5AAD5DDC">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递交地点：合肥市蜀山区湖光路电商园四期E栋10楼1003室</w:t>
      </w:r>
    </w:p>
    <w:p w14:paraId="47F6B9EE">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5F47C6B6">
      <w:pPr>
        <w:pStyle w:val="15"/>
        <w:adjustRightInd w:val="0"/>
        <w:snapToGrid w:val="0"/>
        <w:spacing w:line="360" w:lineRule="auto"/>
        <w:ind w:left="216" w:leftChars="103"/>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熊老师</w:t>
      </w:r>
    </w:p>
    <w:p w14:paraId="5722C7DB">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6C59FBF1">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 </w:t>
      </w:r>
      <w:r>
        <w:rPr>
          <w:sz w:val="24"/>
          <w:szCs w:val="28"/>
          <w:u w:val="none"/>
        </w:rPr>
        <w:t>bpxiong@hfioe.cn</w:t>
      </w:r>
      <w:r>
        <w:rPr>
          <w:rFonts w:hint="eastAsia" w:hAnsi="宋体" w:eastAsia="宋体" w:cs="宋体"/>
          <w:sz w:val="24"/>
          <w:szCs w:val="24"/>
          <w:u w:val="none"/>
        </w:rPr>
        <w:t xml:space="preserve"> </w:t>
      </w:r>
    </w:p>
    <w:p w14:paraId="53232F28">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p>
    <w:p w14:paraId="07D4ECDF">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4227C347">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0A7B5084">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bookmarkEnd w:id="40"/>
    </w:p>
    <w:p w14:paraId="37CC83A3">
      <w:pPr>
        <w:spacing w:line="360" w:lineRule="auto"/>
        <w:rPr>
          <w:rFonts w:hint="eastAsia" w:ascii="宋体" w:hAnsi="宋体" w:eastAsia="宋体" w:cs="宋体"/>
          <w:color w:val="000000"/>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强化耐腐蚀PVC采购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2万元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合肥市蜀山区湖光路电商园四期E楼5楼东侧</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合同签订后支付签约合同价的30%，货物送至采购人指定地点并安装调试完成，经采购人验收合格后支付签约合同价的67%；余款3%作为质量保证金，质保期（1年）满后一次性付清尾款。</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0B0F38F0">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7"/>
        <w:ind w:firstLine="482" w:firstLineChars="200"/>
        <w:jc w:val="both"/>
        <w:rPr>
          <w:rFonts w:hint="eastAsia" w:cs="宋体"/>
          <w:color w:val="000000"/>
          <w:sz w:val="24"/>
          <w:szCs w:val="24"/>
        </w:rPr>
      </w:pPr>
      <w:bookmarkStart w:id="12" w:name="_Toc29684"/>
      <w:bookmarkStart w:id="13" w:name="_Toc18651"/>
      <w:bookmarkStart w:id="14" w:name="_Toc6091"/>
      <w:bookmarkStart w:id="15" w:name="_Toc30095"/>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7"/>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hint="eastAsia" w:ascii="宋体" w:hAnsi="宋体" w:eastAsia="宋体" w:cs="宋体"/>
          <w:color w:val="000000"/>
          <w:sz w:val="24"/>
          <w:szCs w:val="28"/>
        </w:rPr>
      </w:pPr>
    </w:p>
    <w:p w14:paraId="2F0F983F">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450808F">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6149"/>
      <w:bookmarkStart w:id="19" w:name="_Toc363199267"/>
      <w:r>
        <w:rPr>
          <w:rFonts w:hint="eastAsia" w:ascii="宋体" w:hAnsi="宋体" w:eastAsia="宋体" w:cs="宋体"/>
          <w:b/>
          <w:color w:val="000000"/>
          <w:sz w:val="24"/>
          <w:szCs w:val="28"/>
        </w:rPr>
        <w:t>一、项目概况</w:t>
      </w:r>
    </w:p>
    <w:p w14:paraId="1F608EFF">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本次环境检测实验室</w:t>
      </w:r>
      <w:bookmarkStart w:id="20" w:name="_Hlk196466954"/>
      <w:r>
        <w:rPr>
          <w:rFonts w:hint="eastAsia" w:ascii="宋体" w:hAnsi="宋体" w:eastAsia="宋体" w:cs="宋体"/>
          <w:color w:val="000000"/>
          <w:sz w:val="24"/>
          <w:szCs w:val="28"/>
        </w:rPr>
        <w:t>强化耐腐蚀PVC采购</w:t>
      </w:r>
      <w:bookmarkEnd w:id="20"/>
      <w:r>
        <w:rPr>
          <w:rFonts w:hint="eastAsia" w:ascii="宋体" w:hAnsi="宋体" w:eastAsia="宋体" w:cs="宋体"/>
          <w:color w:val="000000"/>
          <w:sz w:val="24"/>
          <w:szCs w:val="28"/>
        </w:rPr>
        <w:t>（包含安装），位于合肥市蜀山区蜀山经济技术开发区电商园四期E栋5层东侧，本项目为实验室强化耐腐蚀PVC采购，旨在为实验区域提供高抗性、易清洁的地面环境，满足强酸、强碱、有机溶剂等腐蚀性物质的长期接触需求。通过铺设专业级耐腐蚀PVC卷材，结合标准化要求，确保地面系统符合相关实验室标准要求，同时实现防滑、抗静电、无缝密封的功能目标。</w:t>
      </w:r>
    </w:p>
    <w:p w14:paraId="565A8415">
      <w:pPr>
        <w:spacing w:line="360" w:lineRule="auto"/>
        <w:ind w:firstLine="482" w:firstLineChars="200"/>
        <w:rPr>
          <w:rFonts w:ascii="Times New Roman" w:hAnsi="Times New Roman" w:cs="Times New Roman"/>
          <w:b/>
          <w:sz w:val="24"/>
          <w:szCs w:val="28"/>
        </w:rPr>
      </w:pPr>
      <w:bookmarkStart w:id="21" w:name="OLE_LINK17"/>
      <w:bookmarkStart w:id="22"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698A035A">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asciiTheme="majorEastAsia" w:hAnsiTheme="majorEastAsia" w:eastAsiaTheme="majorEastAsia"/>
          <w:color w:val="000000"/>
          <w:sz w:val="24"/>
          <w:szCs w:val="24"/>
        </w:rPr>
        <w:t>2.1 采购需求清单</w:t>
      </w:r>
    </w:p>
    <w:tbl>
      <w:tblPr>
        <w:tblStyle w:val="30"/>
        <w:tblW w:w="0" w:type="auto"/>
        <w:tblInd w:w="118" w:type="dxa"/>
        <w:tblLayout w:type="autofit"/>
        <w:tblCellMar>
          <w:top w:w="0" w:type="dxa"/>
          <w:left w:w="108" w:type="dxa"/>
          <w:bottom w:w="0" w:type="dxa"/>
          <w:right w:w="108" w:type="dxa"/>
        </w:tblCellMar>
      </w:tblPr>
      <w:tblGrid>
        <w:gridCol w:w="1020"/>
        <w:gridCol w:w="1166"/>
        <w:gridCol w:w="5195"/>
        <w:gridCol w:w="850"/>
        <w:gridCol w:w="618"/>
      </w:tblGrid>
      <w:tr w14:paraId="37FF3951">
        <w:tblPrEx>
          <w:tblCellMar>
            <w:top w:w="0" w:type="dxa"/>
            <w:left w:w="108" w:type="dxa"/>
            <w:bottom w:w="0" w:type="dxa"/>
            <w:right w:w="108" w:type="dxa"/>
          </w:tblCellMar>
        </w:tblPrEx>
        <w:trPr>
          <w:trHeight w:val="33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BBFEE9">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32F2802">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5195" w:type="dxa"/>
            <w:tcBorders>
              <w:top w:val="single" w:color="000000" w:sz="8" w:space="0"/>
              <w:left w:val="nil"/>
              <w:bottom w:val="single" w:color="000000" w:sz="8" w:space="0"/>
              <w:right w:val="single" w:color="000000" w:sz="8" w:space="0"/>
            </w:tcBorders>
            <w:shd w:val="clear" w:color="auto" w:fill="auto"/>
            <w:vAlign w:val="center"/>
          </w:tcPr>
          <w:p w14:paraId="331E95C4">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850" w:type="dxa"/>
            <w:tcBorders>
              <w:top w:val="single" w:color="000000" w:sz="8" w:space="0"/>
              <w:left w:val="nil"/>
              <w:bottom w:val="single" w:color="000000" w:sz="8" w:space="0"/>
              <w:right w:val="single" w:color="000000" w:sz="8" w:space="0"/>
            </w:tcBorders>
            <w:shd w:val="clear" w:color="auto" w:fill="auto"/>
            <w:vAlign w:val="center"/>
          </w:tcPr>
          <w:p w14:paraId="37644D28">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DF0BFEA">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r>
      <w:tr w14:paraId="46D2555F">
        <w:tblPrEx>
          <w:tblCellMar>
            <w:top w:w="0" w:type="dxa"/>
            <w:left w:w="108" w:type="dxa"/>
            <w:bottom w:w="0" w:type="dxa"/>
            <w:right w:w="108" w:type="dxa"/>
          </w:tblCellMar>
        </w:tblPrEx>
        <w:trPr>
          <w:trHeight w:val="407" w:hRule="exact"/>
        </w:trPr>
        <w:tc>
          <w:tcPr>
            <w:tcW w:w="0" w:type="auto"/>
            <w:vMerge w:val="restart"/>
            <w:tcBorders>
              <w:top w:val="nil"/>
              <w:left w:val="single" w:color="000000" w:sz="8" w:space="0"/>
              <w:bottom w:val="single" w:color="000000" w:sz="8" w:space="0"/>
              <w:right w:val="single" w:color="000000" w:sz="8" w:space="0"/>
            </w:tcBorders>
            <w:shd w:val="clear" w:color="auto" w:fill="FFFFFF"/>
            <w:vAlign w:val="center"/>
          </w:tcPr>
          <w:p w14:paraId="5546B2F0">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地面</w:t>
            </w:r>
          </w:p>
          <w:p w14:paraId="144B8B37">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铺设</w:t>
            </w:r>
          </w:p>
          <w:p w14:paraId="3128714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部分</w:t>
            </w:r>
          </w:p>
        </w:tc>
        <w:tc>
          <w:tcPr>
            <w:tcW w:w="0" w:type="auto"/>
            <w:vMerge w:val="restart"/>
            <w:tcBorders>
              <w:top w:val="nil"/>
              <w:left w:val="nil"/>
              <w:bottom w:val="single" w:color="000000" w:sz="8" w:space="0"/>
              <w:right w:val="single" w:color="000000" w:sz="8" w:space="0"/>
            </w:tcBorders>
            <w:shd w:val="clear" w:color="auto" w:fill="FFFFFF"/>
            <w:vAlign w:val="center"/>
          </w:tcPr>
          <w:p w14:paraId="778EA8C0">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耐腐蚀PVC</w:t>
            </w:r>
          </w:p>
          <w:p w14:paraId="36ECC689">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地板</w:t>
            </w:r>
          </w:p>
        </w:tc>
        <w:tc>
          <w:tcPr>
            <w:tcW w:w="5195" w:type="dxa"/>
            <w:tcBorders>
              <w:top w:val="nil"/>
              <w:left w:val="nil"/>
              <w:bottom w:val="nil"/>
              <w:right w:val="single" w:color="000000" w:sz="8" w:space="0"/>
            </w:tcBorders>
            <w:shd w:val="clear" w:color="auto" w:fill="FFFFFF"/>
            <w:vAlign w:val="center"/>
          </w:tcPr>
          <w:p w14:paraId="3489481E">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材质：同质透芯卷材</w:t>
            </w:r>
          </w:p>
        </w:tc>
        <w:tc>
          <w:tcPr>
            <w:tcW w:w="850" w:type="dxa"/>
            <w:vMerge w:val="restart"/>
            <w:tcBorders>
              <w:top w:val="nil"/>
              <w:left w:val="nil"/>
              <w:bottom w:val="single" w:color="000000" w:sz="8" w:space="0"/>
              <w:right w:val="single" w:color="000000" w:sz="8" w:space="0"/>
            </w:tcBorders>
            <w:shd w:val="clear" w:color="auto" w:fill="auto"/>
            <w:vAlign w:val="center"/>
          </w:tcPr>
          <w:p w14:paraId="11A07248">
            <w:pPr>
              <w:widowControl/>
              <w:jc w:val="center"/>
              <w:rPr>
                <w:rFonts w:hint="eastAsia" w:cs="宋体" w:asciiTheme="majorEastAsia" w:hAnsiTheme="majorEastAsia" w:eastAsiaTheme="majorEastAsia"/>
                <w:color w:val="000000"/>
                <w:kern w:val="0"/>
                <w:sz w:val="20"/>
                <w:lang w:val="en-US" w:eastAsia="zh-CN"/>
              </w:rPr>
            </w:pPr>
            <w:r>
              <w:rPr>
                <w:rFonts w:hint="eastAsia" w:cs="宋体" w:asciiTheme="majorEastAsia" w:hAnsiTheme="majorEastAsia" w:eastAsiaTheme="majorEastAsia"/>
                <w:color w:val="000000"/>
                <w:kern w:val="0"/>
                <w:sz w:val="20"/>
              </w:rPr>
              <w:t>平方</w:t>
            </w:r>
            <w:r>
              <w:rPr>
                <w:rFonts w:hint="eastAsia" w:cs="宋体" w:asciiTheme="majorEastAsia" w:hAnsiTheme="majorEastAsia" w:eastAsiaTheme="majorEastAsia"/>
                <w:color w:val="000000"/>
                <w:kern w:val="0"/>
                <w:sz w:val="20"/>
                <w:lang w:val="en-US" w:eastAsia="zh-CN"/>
              </w:rPr>
              <w:t>米</w:t>
            </w:r>
          </w:p>
        </w:tc>
        <w:tc>
          <w:tcPr>
            <w:tcW w:w="0" w:type="auto"/>
            <w:vMerge w:val="restart"/>
            <w:tcBorders>
              <w:top w:val="nil"/>
              <w:left w:val="nil"/>
              <w:bottom w:val="single" w:color="000000" w:sz="8" w:space="0"/>
              <w:right w:val="single" w:color="000000" w:sz="8" w:space="0"/>
            </w:tcBorders>
            <w:shd w:val="clear" w:color="auto" w:fill="auto"/>
            <w:vAlign w:val="center"/>
          </w:tcPr>
          <w:p w14:paraId="534CDD4B">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1200</w:t>
            </w:r>
          </w:p>
        </w:tc>
      </w:tr>
      <w:tr w14:paraId="3746F44F">
        <w:tblPrEx>
          <w:tblCellMar>
            <w:top w:w="0" w:type="dxa"/>
            <w:left w:w="108" w:type="dxa"/>
            <w:bottom w:w="0" w:type="dxa"/>
            <w:right w:w="108" w:type="dxa"/>
          </w:tblCellMar>
        </w:tblPrEx>
        <w:trPr>
          <w:trHeight w:val="285" w:hRule="exact"/>
        </w:trPr>
        <w:tc>
          <w:tcPr>
            <w:tcW w:w="0" w:type="auto"/>
            <w:vMerge w:val="continue"/>
            <w:tcBorders>
              <w:top w:val="nil"/>
              <w:left w:val="single" w:color="000000" w:sz="8" w:space="0"/>
              <w:bottom w:val="single" w:color="000000" w:sz="8" w:space="0"/>
              <w:right w:val="single" w:color="000000" w:sz="8" w:space="0"/>
            </w:tcBorders>
            <w:vAlign w:val="center"/>
          </w:tcPr>
          <w:p w14:paraId="0E21F029">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470715C8">
            <w:pPr>
              <w:widowControl/>
              <w:jc w:val="left"/>
              <w:rPr>
                <w:rFonts w:hint="eastAsia" w:cs="宋体" w:asciiTheme="majorEastAsia" w:hAnsiTheme="majorEastAsia" w:eastAsiaTheme="majorEastAsia"/>
                <w:color w:val="000000"/>
                <w:kern w:val="0"/>
                <w:sz w:val="20"/>
              </w:rPr>
            </w:pPr>
          </w:p>
        </w:tc>
        <w:tc>
          <w:tcPr>
            <w:tcW w:w="5195" w:type="dxa"/>
            <w:tcBorders>
              <w:top w:val="nil"/>
              <w:left w:val="nil"/>
              <w:bottom w:val="nil"/>
              <w:right w:val="single" w:color="000000" w:sz="8" w:space="0"/>
            </w:tcBorders>
            <w:shd w:val="clear" w:color="auto" w:fill="FFFFFF"/>
            <w:vAlign w:val="center"/>
          </w:tcPr>
          <w:p w14:paraId="75DB7F0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规格：2mm PVC卷材地板</w:t>
            </w:r>
          </w:p>
        </w:tc>
        <w:tc>
          <w:tcPr>
            <w:tcW w:w="850" w:type="dxa"/>
            <w:vMerge w:val="continue"/>
            <w:tcBorders>
              <w:top w:val="nil"/>
              <w:left w:val="nil"/>
              <w:bottom w:val="single" w:color="000000" w:sz="8" w:space="0"/>
              <w:right w:val="single" w:color="000000" w:sz="8" w:space="0"/>
            </w:tcBorders>
            <w:vAlign w:val="center"/>
          </w:tcPr>
          <w:p w14:paraId="00A54CE6">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6083B1C0">
            <w:pPr>
              <w:widowControl/>
              <w:jc w:val="left"/>
              <w:rPr>
                <w:rFonts w:hint="eastAsia" w:cs="宋体" w:asciiTheme="majorEastAsia" w:hAnsiTheme="majorEastAsia" w:eastAsiaTheme="majorEastAsia"/>
                <w:color w:val="000000"/>
                <w:kern w:val="0"/>
                <w:sz w:val="20"/>
              </w:rPr>
            </w:pPr>
          </w:p>
        </w:tc>
      </w:tr>
      <w:tr w14:paraId="3AE51FBD">
        <w:tblPrEx>
          <w:tblCellMar>
            <w:top w:w="0" w:type="dxa"/>
            <w:left w:w="108" w:type="dxa"/>
            <w:bottom w:w="0" w:type="dxa"/>
            <w:right w:w="108" w:type="dxa"/>
          </w:tblCellMar>
        </w:tblPrEx>
        <w:trPr>
          <w:trHeight w:val="567" w:hRule="exact"/>
        </w:trPr>
        <w:tc>
          <w:tcPr>
            <w:tcW w:w="0" w:type="auto"/>
            <w:vMerge w:val="continue"/>
            <w:tcBorders>
              <w:top w:val="nil"/>
              <w:left w:val="single" w:color="000000" w:sz="8" w:space="0"/>
              <w:bottom w:val="single" w:color="000000" w:sz="8" w:space="0"/>
              <w:right w:val="single" w:color="000000" w:sz="8" w:space="0"/>
            </w:tcBorders>
            <w:vAlign w:val="center"/>
          </w:tcPr>
          <w:p w14:paraId="38174CAC">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70E53162">
            <w:pPr>
              <w:widowControl/>
              <w:jc w:val="left"/>
              <w:rPr>
                <w:rFonts w:hint="eastAsia" w:cs="宋体" w:asciiTheme="majorEastAsia" w:hAnsiTheme="majorEastAsia" w:eastAsiaTheme="majorEastAsia"/>
                <w:color w:val="000000"/>
                <w:kern w:val="0"/>
                <w:sz w:val="20"/>
              </w:rPr>
            </w:pPr>
          </w:p>
        </w:tc>
        <w:tc>
          <w:tcPr>
            <w:tcW w:w="5195" w:type="dxa"/>
            <w:tcBorders>
              <w:top w:val="nil"/>
              <w:left w:val="nil"/>
              <w:bottom w:val="single" w:color="000000" w:sz="8" w:space="0"/>
              <w:right w:val="single" w:color="000000" w:sz="8" w:space="0"/>
            </w:tcBorders>
            <w:shd w:val="clear" w:color="auto" w:fill="FFFFFF"/>
            <w:vAlign w:val="center"/>
          </w:tcPr>
          <w:p w14:paraId="23A460B5">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含基层处理、水泥自流平、涂刷界面剂、压线条同色、PVC焊条焊接、安装</w:t>
            </w:r>
          </w:p>
        </w:tc>
        <w:tc>
          <w:tcPr>
            <w:tcW w:w="850" w:type="dxa"/>
            <w:vMerge w:val="continue"/>
            <w:tcBorders>
              <w:top w:val="nil"/>
              <w:left w:val="nil"/>
              <w:bottom w:val="single" w:color="000000" w:sz="8" w:space="0"/>
              <w:right w:val="single" w:color="000000" w:sz="8" w:space="0"/>
            </w:tcBorders>
            <w:vAlign w:val="center"/>
          </w:tcPr>
          <w:p w14:paraId="741ECD01">
            <w:pPr>
              <w:widowControl/>
              <w:jc w:val="left"/>
              <w:rPr>
                <w:rFonts w:hint="eastAsia" w:cs="宋体" w:asciiTheme="majorEastAsia" w:hAnsiTheme="majorEastAsia" w:eastAsiaTheme="majorEastAsia"/>
                <w:color w:val="000000"/>
                <w:kern w:val="0"/>
                <w:sz w:val="20"/>
              </w:rPr>
            </w:pPr>
          </w:p>
        </w:tc>
        <w:tc>
          <w:tcPr>
            <w:tcW w:w="0" w:type="auto"/>
            <w:vMerge w:val="continue"/>
            <w:tcBorders>
              <w:top w:val="nil"/>
              <w:left w:val="nil"/>
              <w:bottom w:val="single" w:color="000000" w:sz="8" w:space="0"/>
              <w:right w:val="single" w:color="000000" w:sz="8" w:space="0"/>
            </w:tcBorders>
            <w:vAlign w:val="center"/>
          </w:tcPr>
          <w:p w14:paraId="5CAB839E">
            <w:pPr>
              <w:widowControl/>
              <w:jc w:val="left"/>
              <w:rPr>
                <w:rFonts w:hint="eastAsia" w:cs="宋体" w:asciiTheme="majorEastAsia" w:hAnsiTheme="majorEastAsia" w:eastAsiaTheme="majorEastAsia"/>
                <w:color w:val="000000"/>
                <w:kern w:val="0"/>
                <w:sz w:val="20"/>
              </w:rPr>
            </w:pPr>
          </w:p>
        </w:tc>
      </w:tr>
    </w:tbl>
    <w:p w14:paraId="02FF5940">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2.2强化耐腐蚀PVC参数</w:t>
      </w:r>
    </w:p>
    <w:p w14:paraId="190F9996">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（1）实验室：PVC地板（颜色、质量以发包方确定的样品为准）；</w:t>
      </w:r>
    </w:p>
    <w:p w14:paraId="0683BEDA">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 xml:space="preserve">（2）地坪：采用PVC同质透心卷材PVC走廊采用分色上墙100mm高； </w:t>
      </w:r>
    </w:p>
    <w:p w14:paraId="073D73E3">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 xml:space="preserve">（3）PVC地板卷材:要求板面平整光滑、无裂纹、色泽均匀、厚薄一致、并符合设计要求及有关技术标准规定； </w:t>
      </w:r>
    </w:p>
    <w:p w14:paraId="5B9371E7">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 xml:space="preserve">（4）焊条:表面应平滑、无孔眼、无节瘤、无皱纹、颜色均匀一致，焊条成分、性能与地板材质相同； </w:t>
      </w:r>
    </w:p>
    <w:p w14:paraId="42858BBA">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（5）胶粘剂(包括界面剂、水性胶等):要求能速干、粘结强度高、耐水性强、环保无毒水性胶，并符合有关技术标准规定，且应单独存放、防火、防阳光曝晒等；</w:t>
      </w:r>
    </w:p>
    <w:p w14:paraId="184E2C20">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（6）自流平水泥:要求强度高、适应当下安装环境和温度的自流平水泥，并符合有关技术标准规定，如过期的自流平不得使用；</w:t>
      </w:r>
    </w:p>
    <w:p w14:paraId="09FF7B08">
      <w:pPr>
        <w:spacing w:line="360" w:lineRule="auto"/>
        <w:ind w:firstLine="240" w:firstLineChars="100"/>
        <w:rPr>
          <w:rFonts w:hint="eastAsia" w:asciiTheme="majorEastAsia" w:hAnsiTheme="majorEastAsia" w:eastAsiaTheme="majorEastAsia"/>
          <w:color w:val="000000"/>
          <w:sz w:val="24"/>
          <w:szCs w:val="28"/>
        </w:rPr>
      </w:pPr>
      <w:r>
        <w:rPr>
          <w:rFonts w:hint="eastAsia" w:asciiTheme="majorEastAsia" w:hAnsiTheme="majorEastAsia" w:eastAsiaTheme="majorEastAsia"/>
          <w:color w:val="000000"/>
          <w:sz w:val="24"/>
          <w:szCs w:val="28"/>
        </w:rPr>
        <w:t xml:space="preserve">（7）PVC 地板卷材库存需竖立存放，不得平放、重叠堆放--避免 PVC卷材变形，不得存放在潮湿、太阳照射的场所--避免板面变色，颜色不均匀。  </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bidi w:val="0"/>
        <w:rPr>
          <w:rFonts w:hint="eastAsia"/>
        </w:rPr>
      </w:pPr>
    </w:p>
    <w:p w14:paraId="29C8BA40">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149E03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16B606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hint="eastAsia" w:ascii="宋体" w:hAnsi="宋体" w:eastAsia="宋体" w:cs="宋体"/>
          <w:color w:val="000000"/>
          <w:sz w:val="24"/>
          <w:szCs w:val="24"/>
        </w:rPr>
      </w:pPr>
    </w:p>
    <w:p w14:paraId="590A214D">
      <w:pPr>
        <w:pStyle w:val="4"/>
        <w:keepLines/>
        <w:ind w:left="720" w:hanging="720"/>
        <w:jc w:val="center"/>
        <w:rPr>
          <w:rFonts w:hint="eastAsia" w:ascii="宋体" w:hAnsi="宋体" w:eastAsia="宋体" w:cs="宋体"/>
          <w:color w:val="000000"/>
          <w:sz w:val="32"/>
        </w:rPr>
      </w:pPr>
      <w:bookmarkStart w:id="23" w:name="_Toc363199268"/>
      <w:bookmarkStart w:id="24" w:name="_Toc25322"/>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74AC61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pPr>
        <w:rPr>
          <w:rFonts w:hint="eastAsia"/>
        </w:rPr>
      </w:pPr>
      <w:bookmarkStart w:id="25" w:name="_Toc363199269"/>
    </w:p>
    <w:p w14:paraId="65C814B9">
      <w:pPr>
        <w:pStyle w:val="4"/>
        <w:keepLines/>
        <w:ind w:left="720" w:hanging="720"/>
        <w:jc w:val="center"/>
        <w:rPr>
          <w:rFonts w:hint="eastAsia"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47CFE7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2AA08A06">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6BDBE517">
      <w:pPr>
        <w:spacing w:line="500" w:lineRule="exact"/>
        <w:jc w:val="center"/>
        <w:rPr>
          <w:rFonts w:hint="eastAsia" w:ascii="宋体" w:hAnsi="宋体" w:eastAsia="宋体" w:cs="宋体"/>
          <w:b/>
          <w:color w:val="000000"/>
          <w:sz w:val="32"/>
        </w:rPr>
      </w:pPr>
    </w:p>
    <w:p w14:paraId="6DF0862F">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项目名称：强化耐腐蚀PVC采购</w:t>
      </w:r>
    </w:p>
    <w:p w14:paraId="3F58A964">
      <w:pPr>
        <w:spacing w:line="900" w:lineRule="exact"/>
        <w:jc w:val="center"/>
        <w:rPr>
          <w:rFonts w:hint="eastAsia" w:ascii="宋体" w:hAnsi="宋体" w:eastAsia="宋体" w:cs="宋体"/>
          <w:b/>
          <w:color w:val="000000"/>
          <w:sz w:val="28"/>
          <w:szCs w:val="6"/>
        </w:rPr>
      </w:pPr>
    </w:p>
    <w:p w14:paraId="476745F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hint="eastAsia" w:ascii="宋体" w:hAnsi="宋体" w:eastAsia="宋体" w:cs="宋体"/>
          <w:b/>
          <w:color w:val="000000"/>
          <w:sz w:val="72"/>
        </w:rPr>
      </w:pPr>
    </w:p>
    <w:p w14:paraId="204150E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hint="eastAsia" w:ascii="宋体" w:hAnsi="宋体" w:eastAsia="宋体" w:cs="宋体"/>
          <w:b/>
          <w:color w:val="000000"/>
          <w:sz w:val="72"/>
        </w:rPr>
      </w:pPr>
    </w:p>
    <w:p w14:paraId="31C30EF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hint="eastAsia" w:ascii="宋体" w:hAnsi="宋体" w:eastAsia="宋体" w:cs="宋体"/>
          <w:b/>
          <w:color w:val="000000"/>
          <w:sz w:val="72"/>
        </w:rPr>
      </w:pPr>
    </w:p>
    <w:p w14:paraId="41FDD5B0">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hint="eastAsia" w:ascii="宋体" w:hAnsi="宋体" w:eastAsia="宋体" w:cs="宋体"/>
          <w:b/>
          <w:color w:val="000000"/>
          <w:sz w:val="72"/>
        </w:rPr>
      </w:pPr>
    </w:p>
    <w:p w14:paraId="6B17855A">
      <w:pPr>
        <w:spacing w:after="156" w:afterLines="50" w:line="500" w:lineRule="exact"/>
        <w:jc w:val="center"/>
        <w:rPr>
          <w:rFonts w:hint="eastAsia" w:ascii="宋体" w:hAnsi="宋体" w:eastAsia="宋体" w:cs="宋体"/>
          <w:b/>
          <w:color w:val="000000"/>
          <w:sz w:val="72"/>
        </w:rPr>
      </w:pPr>
    </w:p>
    <w:p w14:paraId="0063C523">
      <w:pPr>
        <w:spacing w:after="156" w:afterLines="50" w:line="500" w:lineRule="exact"/>
        <w:jc w:val="center"/>
        <w:rPr>
          <w:rFonts w:hint="eastAsia" w:ascii="宋体" w:hAnsi="宋体" w:eastAsia="宋体" w:cs="宋体"/>
          <w:b/>
          <w:color w:val="000000"/>
          <w:sz w:val="72"/>
        </w:rPr>
      </w:pPr>
    </w:p>
    <w:p w14:paraId="0E8E7183">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hint="eastAsia" w:ascii="宋体" w:hAnsi="宋体" w:eastAsia="宋体" w:cs="宋体"/>
          <w:color w:val="000000"/>
          <w:sz w:val="24"/>
          <w:szCs w:val="28"/>
        </w:rPr>
      </w:pPr>
    </w:p>
    <w:p w14:paraId="5AA452E8">
      <w:pPr>
        <w:spacing w:line="360" w:lineRule="auto"/>
        <w:rPr>
          <w:rFonts w:hint="eastAsia" w:ascii="宋体" w:hAnsi="宋体" w:eastAsia="宋体" w:cs="宋体"/>
          <w:color w:val="000000"/>
          <w:sz w:val="24"/>
          <w:szCs w:val="28"/>
        </w:rPr>
      </w:pPr>
    </w:p>
    <w:p w14:paraId="6D0D662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hint="eastAsia"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hint="eastAsia"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66D10765">
            <w:pPr>
              <w:spacing w:line="360" w:lineRule="auto"/>
              <w:jc w:val="center"/>
              <w:rPr>
                <w:rFonts w:hint="eastAsia"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hint="eastAsia"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hint="eastAsia"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color w:val="000000"/>
                <w:sz w:val="24"/>
              </w:rPr>
            </w:pPr>
          </w:p>
        </w:tc>
        <w:tc>
          <w:tcPr>
            <w:tcW w:w="5460" w:type="dxa"/>
            <w:vAlign w:val="center"/>
          </w:tcPr>
          <w:p w14:paraId="2D3B6960">
            <w:pPr>
              <w:rPr>
                <w:rFonts w:hint="eastAsia" w:ascii="宋体" w:hAnsi="宋体" w:eastAsia="宋体" w:cs="宋体"/>
                <w:color w:val="000000"/>
                <w:sz w:val="24"/>
              </w:rPr>
            </w:pPr>
          </w:p>
        </w:tc>
        <w:tc>
          <w:tcPr>
            <w:tcW w:w="2625" w:type="dxa"/>
            <w:vAlign w:val="center"/>
          </w:tcPr>
          <w:p w14:paraId="5B465ABF">
            <w:pPr>
              <w:spacing w:line="360" w:lineRule="auto"/>
              <w:rPr>
                <w:rFonts w:hint="eastAsia" w:ascii="宋体" w:hAnsi="宋体" w:eastAsia="宋体" w:cs="宋体"/>
                <w:b/>
                <w:color w:val="000000"/>
                <w:sz w:val="24"/>
              </w:rPr>
            </w:pPr>
          </w:p>
        </w:tc>
      </w:tr>
    </w:tbl>
    <w:p w14:paraId="612FE8B9">
      <w:pPr>
        <w:spacing w:line="360" w:lineRule="auto"/>
        <w:jc w:val="center"/>
        <w:rPr>
          <w:rFonts w:hint="eastAsia" w:ascii="宋体" w:hAnsi="宋体" w:eastAsia="宋体" w:cs="宋体"/>
          <w:b/>
          <w:color w:val="000000"/>
          <w:sz w:val="24"/>
        </w:rPr>
      </w:pPr>
    </w:p>
    <w:p w14:paraId="05FFF952">
      <w:pPr>
        <w:spacing w:line="360" w:lineRule="auto"/>
        <w:jc w:val="center"/>
        <w:rPr>
          <w:rFonts w:hint="eastAsia" w:ascii="宋体" w:hAnsi="宋体" w:eastAsia="宋体" w:cs="宋体"/>
          <w:b/>
          <w:color w:val="000000"/>
          <w:sz w:val="24"/>
        </w:rPr>
      </w:pPr>
    </w:p>
    <w:p w14:paraId="480C78C9">
      <w:pPr>
        <w:spacing w:line="360" w:lineRule="auto"/>
        <w:jc w:val="center"/>
        <w:rPr>
          <w:rFonts w:hint="eastAsia" w:ascii="宋体" w:hAnsi="宋体" w:eastAsia="宋体" w:cs="宋体"/>
          <w:b/>
          <w:color w:val="000000"/>
          <w:sz w:val="24"/>
        </w:rPr>
      </w:pPr>
    </w:p>
    <w:p w14:paraId="21828120">
      <w:pPr>
        <w:spacing w:line="360" w:lineRule="auto"/>
        <w:jc w:val="center"/>
        <w:rPr>
          <w:rFonts w:hint="eastAsia" w:ascii="宋体" w:hAnsi="宋体" w:eastAsia="宋体" w:cs="宋体"/>
          <w:b/>
          <w:color w:val="000000"/>
          <w:sz w:val="24"/>
        </w:rPr>
      </w:pPr>
    </w:p>
    <w:p w14:paraId="26A074C1">
      <w:pPr>
        <w:spacing w:line="360" w:lineRule="auto"/>
        <w:jc w:val="center"/>
        <w:rPr>
          <w:rFonts w:hint="eastAsia" w:ascii="宋体" w:hAnsi="宋体" w:eastAsia="宋体" w:cs="宋体"/>
          <w:b/>
          <w:color w:val="000000"/>
          <w:sz w:val="24"/>
        </w:rPr>
      </w:pPr>
    </w:p>
    <w:p w14:paraId="74ABD891">
      <w:pPr>
        <w:spacing w:line="360" w:lineRule="auto"/>
        <w:jc w:val="center"/>
        <w:rPr>
          <w:rFonts w:hint="eastAsia" w:ascii="宋体" w:hAnsi="宋体" w:eastAsia="宋体" w:cs="宋体"/>
          <w:b/>
          <w:color w:val="000000"/>
          <w:sz w:val="24"/>
        </w:rPr>
      </w:pPr>
    </w:p>
    <w:p w14:paraId="7FA02550">
      <w:pPr>
        <w:spacing w:line="360" w:lineRule="auto"/>
        <w:jc w:val="center"/>
        <w:rPr>
          <w:rFonts w:hint="eastAsia" w:ascii="宋体" w:hAnsi="宋体" w:eastAsia="宋体" w:cs="宋体"/>
          <w:b/>
          <w:color w:val="000000"/>
          <w:sz w:val="24"/>
        </w:rPr>
      </w:pPr>
    </w:p>
    <w:p w14:paraId="3DC46AF8">
      <w:pPr>
        <w:spacing w:line="360" w:lineRule="auto"/>
        <w:jc w:val="center"/>
        <w:rPr>
          <w:rFonts w:hint="eastAsia" w:ascii="宋体" w:hAnsi="宋体" w:eastAsia="宋体" w:cs="宋体"/>
          <w:b/>
          <w:color w:val="000000"/>
          <w:sz w:val="24"/>
        </w:rPr>
      </w:pPr>
    </w:p>
    <w:p w14:paraId="33487E24">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7F1C00F1">
      <w:pPr>
        <w:pStyle w:val="6"/>
        <w:rPr>
          <w:rFonts w:hint="eastAsia" w:ascii="宋体" w:hAnsi="宋体" w:eastAsia="宋体" w:cs="宋体"/>
          <w:color w:val="000000"/>
          <w:sz w:val="24"/>
          <w:szCs w:val="24"/>
        </w:rPr>
      </w:pPr>
      <w:bookmarkStart w:id="29" w:name="_Toc4938"/>
      <w:bookmarkStart w:id="30" w:name="_Toc5390"/>
      <w:r>
        <w:rPr>
          <w:rFonts w:hint="eastAsia" w:ascii="宋体" w:hAnsi="宋体" w:eastAsia="宋体" w:cs="宋体"/>
          <w:color w:val="000000"/>
          <w:sz w:val="24"/>
          <w:szCs w:val="24"/>
        </w:rPr>
        <w:t>附件一</w:t>
      </w:r>
      <w:bookmarkEnd w:id="29"/>
      <w:bookmarkEnd w:id="30"/>
    </w:p>
    <w:p w14:paraId="705D23E5">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color w:val="000000"/>
                <w:sz w:val="22"/>
                <w:szCs w:val="22"/>
              </w:rPr>
            </w:pPr>
          </w:p>
        </w:tc>
      </w:tr>
    </w:tbl>
    <w:p w14:paraId="1E161802">
      <w:pPr>
        <w:spacing w:line="500" w:lineRule="exact"/>
        <w:jc w:val="center"/>
        <w:rPr>
          <w:rFonts w:hint="eastAsia" w:ascii="宋体" w:hAnsi="宋体" w:eastAsia="宋体" w:cs="宋体"/>
          <w:color w:val="000000"/>
          <w:sz w:val="24"/>
        </w:rPr>
      </w:pPr>
    </w:p>
    <w:p w14:paraId="50A3BD7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hint="eastAsia" w:ascii="宋体" w:hAnsi="宋体" w:eastAsia="宋体" w:cs="宋体"/>
          <w:color w:val="000000"/>
          <w:sz w:val="24"/>
        </w:rPr>
      </w:pPr>
    </w:p>
    <w:p w14:paraId="7B0262CE">
      <w:pPr>
        <w:spacing w:line="500" w:lineRule="exact"/>
        <w:jc w:val="center"/>
        <w:rPr>
          <w:rFonts w:hint="eastAsia" w:ascii="宋体" w:hAnsi="宋体" w:eastAsia="宋体" w:cs="宋体"/>
          <w:color w:val="000000"/>
          <w:sz w:val="24"/>
        </w:rPr>
      </w:pPr>
    </w:p>
    <w:p w14:paraId="259580FC">
      <w:pPr>
        <w:spacing w:line="500" w:lineRule="exact"/>
        <w:jc w:val="center"/>
        <w:rPr>
          <w:rFonts w:hint="eastAsia" w:ascii="宋体" w:hAnsi="宋体" w:eastAsia="宋体" w:cs="宋体"/>
          <w:color w:val="000000"/>
          <w:sz w:val="24"/>
        </w:rPr>
      </w:pPr>
    </w:p>
    <w:p w14:paraId="7381F8AB">
      <w:pPr>
        <w:spacing w:line="500" w:lineRule="exact"/>
        <w:jc w:val="center"/>
        <w:rPr>
          <w:rFonts w:hint="eastAsia" w:ascii="宋体" w:hAnsi="宋体" w:eastAsia="宋体" w:cs="宋体"/>
          <w:color w:val="000000"/>
          <w:sz w:val="24"/>
        </w:rPr>
      </w:pPr>
    </w:p>
    <w:p w14:paraId="5C2DB001">
      <w:pPr>
        <w:pStyle w:val="6"/>
        <w:rPr>
          <w:rFonts w:hint="eastAsia" w:ascii="宋体" w:hAnsi="宋体" w:eastAsia="宋体" w:cs="宋体"/>
          <w:color w:val="000000"/>
          <w:sz w:val="24"/>
          <w:szCs w:val="24"/>
        </w:rPr>
      </w:pPr>
      <w:bookmarkStart w:id="31" w:name="_Toc24205"/>
      <w:bookmarkStart w:id="32" w:name="_Toc1715"/>
      <w:r>
        <w:rPr>
          <w:rFonts w:hint="eastAsia" w:ascii="宋体" w:hAnsi="宋体" w:eastAsia="宋体" w:cs="宋体"/>
          <w:color w:val="000000"/>
          <w:sz w:val="24"/>
          <w:szCs w:val="24"/>
        </w:rPr>
        <w:t>附件二</w:t>
      </w:r>
      <w:bookmarkEnd w:id="31"/>
      <w:bookmarkEnd w:id="32"/>
    </w:p>
    <w:p w14:paraId="5FC6082E">
      <w:pPr>
        <w:spacing w:line="360" w:lineRule="auto"/>
        <w:jc w:val="center"/>
        <w:rPr>
          <w:rFonts w:hint="eastAsia" w:ascii="宋体" w:hAnsi="宋体" w:eastAsia="宋体" w:cs="宋体"/>
          <w:b/>
          <w:color w:val="000000"/>
          <w:sz w:val="24"/>
          <w:szCs w:val="24"/>
        </w:rPr>
      </w:pPr>
      <w:bookmarkStart w:id="33" w:name="_Toc516969098"/>
      <w:bookmarkStart w:id="34" w:name="_Toc1485016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4B34A32E">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强化耐腐蚀PVC采购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525C7E83">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416E390A">
      <w:pPr>
        <w:jc w:val="center"/>
        <w:rPr>
          <w:rFonts w:hint="eastAsia" w:ascii="宋体" w:hAnsi="宋体" w:eastAsia="宋体" w:cs="宋体"/>
          <w:b/>
          <w:color w:val="000000"/>
          <w:sz w:val="24"/>
          <w:szCs w:val="24"/>
        </w:rPr>
      </w:pPr>
    </w:p>
    <w:p w14:paraId="3C8EF91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53F7CE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4997" w:type="pct"/>
        <w:tblInd w:w="0" w:type="dxa"/>
        <w:tblLayout w:type="autofit"/>
        <w:tblCellMar>
          <w:top w:w="0" w:type="dxa"/>
          <w:left w:w="108" w:type="dxa"/>
          <w:bottom w:w="0" w:type="dxa"/>
          <w:right w:w="108" w:type="dxa"/>
        </w:tblCellMar>
      </w:tblPr>
      <w:tblGrid>
        <w:gridCol w:w="754"/>
        <w:gridCol w:w="885"/>
        <w:gridCol w:w="4503"/>
        <w:gridCol w:w="603"/>
        <w:gridCol w:w="616"/>
        <w:gridCol w:w="819"/>
        <w:gridCol w:w="819"/>
      </w:tblGrid>
      <w:tr w14:paraId="0EB5C252">
        <w:tblPrEx>
          <w:tblCellMar>
            <w:top w:w="0" w:type="dxa"/>
            <w:left w:w="108" w:type="dxa"/>
            <w:bottom w:w="0" w:type="dxa"/>
            <w:right w:w="108" w:type="dxa"/>
          </w:tblCellMar>
        </w:tblPrEx>
        <w:trPr>
          <w:trHeight w:val="330" w:hRule="atLeast"/>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33DF35">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570" w:type="pct"/>
            <w:tcBorders>
              <w:top w:val="single" w:color="000000" w:sz="8" w:space="0"/>
              <w:left w:val="nil"/>
              <w:bottom w:val="single" w:color="000000" w:sz="8" w:space="0"/>
              <w:right w:val="single" w:color="000000" w:sz="8" w:space="0"/>
            </w:tcBorders>
            <w:shd w:val="clear" w:color="auto" w:fill="auto"/>
            <w:vAlign w:val="center"/>
          </w:tcPr>
          <w:p w14:paraId="0DCCF875">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2579" w:type="pct"/>
            <w:tcBorders>
              <w:top w:val="single" w:color="000000" w:sz="8" w:space="0"/>
              <w:left w:val="nil"/>
              <w:bottom w:val="single" w:color="000000" w:sz="8" w:space="0"/>
              <w:right w:val="single" w:color="000000" w:sz="8" w:space="0"/>
            </w:tcBorders>
            <w:shd w:val="clear" w:color="auto" w:fill="auto"/>
            <w:vAlign w:val="center"/>
          </w:tcPr>
          <w:p w14:paraId="17C60780">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413" w:type="pct"/>
            <w:tcBorders>
              <w:top w:val="single" w:color="000000" w:sz="8" w:space="0"/>
              <w:left w:val="nil"/>
              <w:bottom w:val="single" w:color="000000" w:sz="8" w:space="0"/>
              <w:right w:val="single" w:color="000000" w:sz="8" w:space="0"/>
            </w:tcBorders>
            <w:shd w:val="clear" w:color="auto" w:fill="auto"/>
            <w:vAlign w:val="center"/>
          </w:tcPr>
          <w:p w14:paraId="0C753A7C">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342" w:type="pct"/>
            <w:tcBorders>
              <w:top w:val="single" w:color="000000" w:sz="8" w:space="0"/>
              <w:left w:val="nil"/>
              <w:bottom w:val="single" w:color="000000" w:sz="8" w:space="0"/>
              <w:right w:val="single" w:color="000000" w:sz="8" w:space="0"/>
            </w:tcBorders>
            <w:shd w:val="clear" w:color="auto" w:fill="auto"/>
            <w:vAlign w:val="center"/>
          </w:tcPr>
          <w:p w14:paraId="5557F961">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c>
          <w:tcPr>
            <w:tcW w:w="298" w:type="pct"/>
            <w:tcBorders>
              <w:top w:val="single" w:color="000000" w:sz="8" w:space="0"/>
              <w:left w:val="nil"/>
              <w:bottom w:val="single" w:color="000000" w:sz="8" w:space="0"/>
              <w:right w:val="single" w:color="000000" w:sz="8" w:space="0"/>
            </w:tcBorders>
            <w:shd w:val="clear" w:color="auto" w:fill="auto"/>
            <w:vAlign w:val="center"/>
          </w:tcPr>
          <w:p w14:paraId="032AC3CA">
            <w:pPr>
              <w:widowControl/>
              <w:jc w:val="center"/>
              <w:rPr>
                <w:rFonts w:hint="default" w:cs="宋体" w:asciiTheme="majorEastAsia" w:hAnsiTheme="majorEastAsia" w:eastAsiaTheme="majorEastAsia"/>
                <w:b/>
                <w:bCs/>
                <w:color w:val="000000"/>
                <w:kern w:val="0"/>
                <w:sz w:val="20"/>
                <w:lang w:val="en-US" w:eastAsia="zh-CN"/>
              </w:rPr>
            </w:pPr>
            <w:r>
              <w:rPr>
                <w:rFonts w:hint="eastAsia" w:cs="宋体" w:asciiTheme="majorEastAsia" w:hAnsiTheme="majorEastAsia" w:eastAsiaTheme="majorEastAsia"/>
                <w:b/>
                <w:bCs/>
                <w:color w:val="000000"/>
                <w:kern w:val="0"/>
                <w:sz w:val="20"/>
                <w:lang w:val="en-US" w:eastAsia="zh-CN"/>
              </w:rPr>
              <w:t>综合单价（元）</w:t>
            </w:r>
          </w:p>
        </w:tc>
        <w:tc>
          <w:tcPr>
            <w:tcW w:w="298" w:type="pct"/>
            <w:tcBorders>
              <w:top w:val="single" w:color="000000" w:sz="8" w:space="0"/>
              <w:left w:val="nil"/>
              <w:bottom w:val="single" w:color="000000" w:sz="8" w:space="0"/>
              <w:right w:val="single" w:color="000000" w:sz="8" w:space="0"/>
            </w:tcBorders>
            <w:shd w:val="clear" w:color="auto" w:fill="auto"/>
            <w:vAlign w:val="center"/>
          </w:tcPr>
          <w:p w14:paraId="0323A097">
            <w:pPr>
              <w:widowControl/>
              <w:jc w:val="center"/>
              <w:rPr>
                <w:rFonts w:hint="default" w:cs="宋体" w:asciiTheme="majorEastAsia" w:hAnsiTheme="majorEastAsia" w:eastAsiaTheme="majorEastAsia"/>
                <w:b/>
                <w:bCs/>
                <w:color w:val="000000"/>
                <w:kern w:val="0"/>
                <w:sz w:val="20"/>
                <w:lang w:val="en-US" w:eastAsia="zh-CN"/>
              </w:rPr>
            </w:pPr>
            <w:r>
              <w:rPr>
                <w:rFonts w:hint="eastAsia" w:cs="宋体" w:asciiTheme="majorEastAsia" w:hAnsiTheme="majorEastAsia" w:eastAsiaTheme="majorEastAsia"/>
                <w:b/>
                <w:bCs/>
                <w:color w:val="000000"/>
                <w:kern w:val="0"/>
                <w:sz w:val="20"/>
                <w:lang w:val="en-US" w:eastAsia="zh-CN"/>
              </w:rPr>
              <w:t>综合合价（元）</w:t>
            </w:r>
          </w:p>
        </w:tc>
      </w:tr>
      <w:tr w14:paraId="34F275B6">
        <w:tblPrEx>
          <w:tblCellMar>
            <w:top w:w="0" w:type="dxa"/>
            <w:left w:w="108" w:type="dxa"/>
            <w:bottom w:w="0" w:type="dxa"/>
            <w:right w:w="108" w:type="dxa"/>
          </w:tblCellMar>
        </w:tblPrEx>
        <w:trPr>
          <w:trHeight w:val="407" w:hRule="exact"/>
        </w:trPr>
        <w:tc>
          <w:tcPr>
            <w:tcW w:w="497" w:type="pct"/>
            <w:vMerge w:val="restart"/>
            <w:tcBorders>
              <w:top w:val="nil"/>
              <w:left w:val="single" w:color="000000" w:sz="8" w:space="0"/>
              <w:bottom w:val="single" w:color="000000" w:sz="8" w:space="0"/>
              <w:right w:val="single" w:color="000000" w:sz="8" w:space="0"/>
            </w:tcBorders>
            <w:shd w:val="clear" w:color="auto" w:fill="FFFFFF"/>
            <w:vAlign w:val="center"/>
          </w:tcPr>
          <w:p w14:paraId="1320DCD9">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地面</w:t>
            </w:r>
          </w:p>
          <w:p w14:paraId="4CEA4BA3">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铺设</w:t>
            </w:r>
          </w:p>
          <w:p w14:paraId="6C407C79">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部分</w:t>
            </w:r>
          </w:p>
        </w:tc>
        <w:tc>
          <w:tcPr>
            <w:tcW w:w="570" w:type="pct"/>
            <w:vMerge w:val="restart"/>
            <w:tcBorders>
              <w:top w:val="nil"/>
              <w:left w:val="nil"/>
              <w:bottom w:val="single" w:color="000000" w:sz="8" w:space="0"/>
              <w:right w:val="single" w:color="000000" w:sz="8" w:space="0"/>
            </w:tcBorders>
            <w:shd w:val="clear" w:color="auto" w:fill="FFFFFF"/>
            <w:vAlign w:val="center"/>
          </w:tcPr>
          <w:p w14:paraId="5B73AB3D">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耐腐蚀PVC</w:t>
            </w:r>
          </w:p>
          <w:p w14:paraId="57C1B8E5">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地板</w:t>
            </w:r>
          </w:p>
        </w:tc>
        <w:tc>
          <w:tcPr>
            <w:tcW w:w="2579" w:type="pct"/>
            <w:tcBorders>
              <w:top w:val="nil"/>
              <w:left w:val="nil"/>
              <w:bottom w:val="nil"/>
              <w:right w:val="single" w:color="000000" w:sz="8" w:space="0"/>
            </w:tcBorders>
            <w:shd w:val="clear" w:color="auto" w:fill="FFFFFF"/>
            <w:vAlign w:val="center"/>
          </w:tcPr>
          <w:p w14:paraId="0F6EC51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材质：同质透芯卷材</w:t>
            </w:r>
          </w:p>
        </w:tc>
        <w:tc>
          <w:tcPr>
            <w:tcW w:w="413" w:type="pct"/>
            <w:vMerge w:val="restart"/>
            <w:tcBorders>
              <w:top w:val="nil"/>
              <w:left w:val="nil"/>
              <w:bottom w:val="single" w:color="000000" w:sz="8" w:space="0"/>
              <w:right w:val="single" w:color="000000" w:sz="8" w:space="0"/>
            </w:tcBorders>
            <w:shd w:val="clear" w:color="auto" w:fill="auto"/>
            <w:vAlign w:val="center"/>
          </w:tcPr>
          <w:p w14:paraId="252259A6">
            <w:pPr>
              <w:widowControl/>
              <w:jc w:val="center"/>
              <w:rPr>
                <w:rFonts w:hint="eastAsia" w:cs="宋体" w:asciiTheme="majorEastAsia" w:hAnsiTheme="majorEastAsia" w:eastAsiaTheme="majorEastAsia"/>
                <w:color w:val="000000"/>
                <w:kern w:val="0"/>
                <w:sz w:val="20"/>
                <w:lang w:val="en-US" w:eastAsia="zh-CN"/>
              </w:rPr>
            </w:pPr>
            <w:r>
              <w:rPr>
                <w:rFonts w:hint="eastAsia" w:cs="宋体" w:asciiTheme="majorEastAsia" w:hAnsiTheme="majorEastAsia" w:eastAsiaTheme="majorEastAsia"/>
                <w:color w:val="000000"/>
                <w:kern w:val="0"/>
                <w:sz w:val="20"/>
              </w:rPr>
              <w:t>平方</w:t>
            </w:r>
            <w:r>
              <w:rPr>
                <w:rFonts w:hint="eastAsia" w:cs="宋体" w:asciiTheme="majorEastAsia" w:hAnsiTheme="majorEastAsia" w:eastAsiaTheme="majorEastAsia"/>
                <w:color w:val="000000"/>
                <w:kern w:val="0"/>
                <w:sz w:val="20"/>
                <w:lang w:val="en-US" w:eastAsia="zh-CN"/>
              </w:rPr>
              <w:t>米</w:t>
            </w:r>
          </w:p>
        </w:tc>
        <w:tc>
          <w:tcPr>
            <w:tcW w:w="342" w:type="pct"/>
            <w:vMerge w:val="restart"/>
            <w:tcBorders>
              <w:top w:val="nil"/>
              <w:left w:val="nil"/>
              <w:bottom w:val="single" w:color="000000" w:sz="8" w:space="0"/>
              <w:right w:val="single" w:color="000000" w:sz="8" w:space="0"/>
            </w:tcBorders>
            <w:shd w:val="clear" w:color="auto" w:fill="auto"/>
            <w:vAlign w:val="center"/>
          </w:tcPr>
          <w:p w14:paraId="4A7BE1D4">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1200</w:t>
            </w:r>
          </w:p>
        </w:tc>
        <w:tc>
          <w:tcPr>
            <w:tcW w:w="298" w:type="pct"/>
            <w:vMerge w:val="restart"/>
            <w:tcBorders>
              <w:top w:val="nil"/>
              <w:left w:val="nil"/>
              <w:right w:val="single" w:color="000000" w:sz="8" w:space="0"/>
            </w:tcBorders>
            <w:shd w:val="clear" w:color="auto" w:fill="auto"/>
            <w:vAlign w:val="center"/>
          </w:tcPr>
          <w:p w14:paraId="51C7153A">
            <w:pPr>
              <w:widowControl/>
              <w:jc w:val="center"/>
              <w:rPr>
                <w:rFonts w:hint="eastAsia" w:cs="宋体" w:asciiTheme="majorEastAsia" w:hAnsiTheme="majorEastAsia" w:eastAsiaTheme="majorEastAsia"/>
                <w:color w:val="000000"/>
                <w:kern w:val="0"/>
                <w:sz w:val="20"/>
              </w:rPr>
            </w:pPr>
          </w:p>
        </w:tc>
        <w:tc>
          <w:tcPr>
            <w:tcW w:w="298" w:type="pct"/>
            <w:vMerge w:val="restart"/>
            <w:tcBorders>
              <w:top w:val="nil"/>
              <w:left w:val="nil"/>
              <w:right w:val="single" w:color="000000" w:sz="8" w:space="0"/>
            </w:tcBorders>
            <w:shd w:val="clear" w:color="auto" w:fill="auto"/>
            <w:vAlign w:val="center"/>
          </w:tcPr>
          <w:p w14:paraId="2F395650">
            <w:pPr>
              <w:widowControl/>
              <w:jc w:val="center"/>
              <w:rPr>
                <w:rFonts w:hint="eastAsia" w:cs="宋体" w:asciiTheme="majorEastAsia" w:hAnsiTheme="majorEastAsia" w:eastAsiaTheme="majorEastAsia"/>
                <w:color w:val="000000"/>
                <w:kern w:val="0"/>
                <w:sz w:val="20"/>
              </w:rPr>
            </w:pPr>
          </w:p>
        </w:tc>
      </w:tr>
      <w:tr w14:paraId="2B573E34">
        <w:tblPrEx>
          <w:tblCellMar>
            <w:top w:w="0" w:type="dxa"/>
            <w:left w:w="108" w:type="dxa"/>
            <w:bottom w:w="0" w:type="dxa"/>
            <w:right w:w="108" w:type="dxa"/>
          </w:tblCellMar>
        </w:tblPrEx>
        <w:trPr>
          <w:trHeight w:val="285" w:hRule="exact"/>
        </w:trPr>
        <w:tc>
          <w:tcPr>
            <w:tcW w:w="497" w:type="pct"/>
            <w:vMerge w:val="continue"/>
            <w:tcBorders>
              <w:top w:val="nil"/>
              <w:left w:val="single" w:color="000000" w:sz="8" w:space="0"/>
              <w:bottom w:val="single" w:color="000000" w:sz="8" w:space="0"/>
              <w:right w:val="single" w:color="000000" w:sz="8" w:space="0"/>
            </w:tcBorders>
            <w:vAlign w:val="center"/>
          </w:tcPr>
          <w:p w14:paraId="30C51232">
            <w:pPr>
              <w:widowControl/>
              <w:jc w:val="left"/>
              <w:rPr>
                <w:rFonts w:hint="eastAsia" w:cs="宋体" w:asciiTheme="majorEastAsia" w:hAnsiTheme="majorEastAsia" w:eastAsiaTheme="majorEastAsia"/>
                <w:color w:val="000000"/>
                <w:kern w:val="0"/>
                <w:sz w:val="20"/>
              </w:rPr>
            </w:pPr>
          </w:p>
        </w:tc>
        <w:tc>
          <w:tcPr>
            <w:tcW w:w="570" w:type="pct"/>
            <w:vMerge w:val="continue"/>
            <w:tcBorders>
              <w:top w:val="nil"/>
              <w:left w:val="nil"/>
              <w:bottom w:val="single" w:color="000000" w:sz="8" w:space="0"/>
              <w:right w:val="single" w:color="000000" w:sz="8" w:space="0"/>
            </w:tcBorders>
            <w:vAlign w:val="center"/>
          </w:tcPr>
          <w:p w14:paraId="6E0D5D1D">
            <w:pPr>
              <w:widowControl/>
              <w:jc w:val="left"/>
              <w:rPr>
                <w:rFonts w:hint="eastAsia" w:cs="宋体" w:asciiTheme="majorEastAsia" w:hAnsiTheme="majorEastAsia" w:eastAsiaTheme="majorEastAsia"/>
                <w:color w:val="000000"/>
                <w:kern w:val="0"/>
                <w:sz w:val="20"/>
              </w:rPr>
            </w:pPr>
          </w:p>
        </w:tc>
        <w:tc>
          <w:tcPr>
            <w:tcW w:w="2579" w:type="pct"/>
            <w:tcBorders>
              <w:top w:val="nil"/>
              <w:left w:val="nil"/>
              <w:bottom w:val="nil"/>
              <w:right w:val="single" w:color="000000" w:sz="8" w:space="0"/>
            </w:tcBorders>
            <w:shd w:val="clear" w:color="auto" w:fill="FFFFFF"/>
            <w:vAlign w:val="center"/>
          </w:tcPr>
          <w:p w14:paraId="7253D298">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规格：2mm PVC卷材地板</w:t>
            </w:r>
          </w:p>
        </w:tc>
        <w:tc>
          <w:tcPr>
            <w:tcW w:w="413" w:type="pct"/>
            <w:vMerge w:val="continue"/>
            <w:tcBorders>
              <w:top w:val="nil"/>
              <w:left w:val="nil"/>
              <w:bottom w:val="single" w:color="000000" w:sz="8" w:space="0"/>
              <w:right w:val="single" w:color="000000" w:sz="8" w:space="0"/>
            </w:tcBorders>
            <w:vAlign w:val="center"/>
          </w:tcPr>
          <w:p w14:paraId="33B5805D">
            <w:pPr>
              <w:widowControl/>
              <w:jc w:val="left"/>
              <w:rPr>
                <w:rFonts w:hint="eastAsia" w:cs="宋体" w:asciiTheme="majorEastAsia" w:hAnsiTheme="majorEastAsia" w:eastAsiaTheme="majorEastAsia"/>
                <w:color w:val="000000"/>
                <w:kern w:val="0"/>
                <w:sz w:val="20"/>
              </w:rPr>
            </w:pPr>
          </w:p>
        </w:tc>
        <w:tc>
          <w:tcPr>
            <w:tcW w:w="342" w:type="pct"/>
            <w:vMerge w:val="continue"/>
            <w:tcBorders>
              <w:top w:val="nil"/>
              <w:left w:val="nil"/>
              <w:bottom w:val="single" w:color="000000" w:sz="8" w:space="0"/>
              <w:right w:val="single" w:color="000000" w:sz="8" w:space="0"/>
            </w:tcBorders>
            <w:vAlign w:val="center"/>
          </w:tcPr>
          <w:p w14:paraId="4669735F">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right w:val="single" w:color="000000" w:sz="8" w:space="0"/>
            </w:tcBorders>
            <w:vAlign w:val="center"/>
          </w:tcPr>
          <w:p w14:paraId="2DAAD3A3">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right w:val="single" w:color="000000" w:sz="8" w:space="0"/>
            </w:tcBorders>
            <w:vAlign w:val="center"/>
          </w:tcPr>
          <w:p w14:paraId="5FF5AA28">
            <w:pPr>
              <w:widowControl/>
              <w:jc w:val="left"/>
              <w:rPr>
                <w:rFonts w:hint="eastAsia" w:cs="宋体" w:asciiTheme="majorEastAsia" w:hAnsiTheme="majorEastAsia" w:eastAsiaTheme="majorEastAsia"/>
                <w:color w:val="000000"/>
                <w:kern w:val="0"/>
                <w:sz w:val="20"/>
              </w:rPr>
            </w:pPr>
          </w:p>
        </w:tc>
      </w:tr>
      <w:tr w14:paraId="1FD36CD6">
        <w:tblPrEx>
          <w:tblCellMar>
            <w:top w:w="0" w:type="dxa"/>
            <w:left w:w="108" w:type="dxa"/>
            <w:bottom w:w="0" w:type="dxa"/>
            <w:right w:w="108" w:type="dxa"/>
          </w:tblCellMar>
        </w:tblPrEx>
        <w:trPr>
          <w:trHeight w:val="567" w:hRule="exact"/>
        </w:trPr>
        <w:tc>
          <w:tcPr>
            <w:tcW w:w="497" w:type="pct"/>
            <w:vMerge w:val="continue"/>
            <w:tcBorders>
              <w:top w:val="nil"/>
              <w:left w:val="single" w:color="000000" w:sz="8" w:space="0"/>
              <w:bottom w:val="single" w:color="000000" w:sz="8" w:space="0"/>
              <w:right w:val="single" w:color="000000" w:sz="8" w:space="0"/>
            </w:tcBorders>
            <w:vAlign w:val="center"/>
          </w:tcPr>
          <w:p w14:paraId="550EC354">
            <w:pPr>
              <w:widowControl/>
              <w:jc w:val="left"/>
              <w:rPr>
                <w:rFonts w:hint="eastAsia" w:cs="宋体" w:asciiTheme="majorEastAsia" w:hAnsiTheme="majorEastAsia" w:eastAsiaTheme="majorEastAsia"/>
                <w:color w:val="000000"/>
                <w:kern w:val="0"/>
                <w:sz w:val="20"/>
              </w:rPr>
            </w:pPr>
          </w:p>
        </w:tc>
        <w:tc>
          <w:tcPr>
            <w:tcW w:w="570" w:type="pct"/>
            <w:vMerge w:val="continue"/>
            <w:tcBorders>
              <w:top w:val="nil"/>
              <w:left w:val="nil"/>
              <w:bottom w:val="single" w:color="000000" w:sz="8" w:space="0"/>
              <w:right w:val="single" w:color="000000" w:sz="8" w:space="0"/>
            </w:tcBorders>
            <w:vAlign w:val="center"/>
          </w:tcPr>
          <w:p w14:paraId="3ACC5DA0">
            <w:pPr>
              <w:widowControl/>
              <w:jc w:val="left"/>
              <w:rPr>
                <w:rFonts w:hint="eastAsia" w:cs="宋体" w:asciiTheme="majorEastAsia" w:hAnsiTheme="majorEastAsia" w:eastAsiaTheme="majorEastAsia"/>
                <w:color w:val="000000"/>
                <w:kern w:val="0"/>
                <w:sz w:val="20"/>
              </w:rPr>
            </w:pPr>
          </w:p>
        </w:tc>
        <w:tc>
          <w:tcPr>
            <w:tcW w:w="2579" w:type="pct"/>
            <w:tcBorders>
              <w:top w:val="nil"/>
              <w:left w:val="nil"/>
              <w:bottom w:val="single" w:color="000000" w:sz="8" w:space="0"/>
              <w:right w:val="single" w:color="000000" w:sz="8" w:space="0"/>
            </w:tcBorders>
            <w:shd w:val="clear" w:color="auto" w:fill="FFFFFF"/>
            <w:vAlign w:val="center"/>
          </w:tcPr>
          <w:p w14:paraId="323B30A1">
            <w:pPr>
              <w:widowControl/>
              <w:jc w:val="center"/>
              <w:rPr>
                <w:rFonts w:hint="eastAsia" w:cs="宋体" w:asciiTheme="majorEastAsia" w:hAnsiTheme="majorEastAsia" w:eastAsiaTheme="majorEastAsia"/>
                <w:color w:val="000000"/>
                <w:kern w:val="0"/>
                <w:sz w:val="20"/>
              </w:rPr>
            </w:pPr>
            <w:r>
              <w:rPr>
                <w:rFonts w:hint="eastAsia" w:cs="宋体" w:asciiTheme="majorEastAsia" w:hAnsiTheme="majorEastAsia" w:eastAsiaTheme="majorEastAsia"/>
                <w:color w:val="000000"/>
                <w:kern w:val="0"/>
                <w:sz w:val="20"/>
              </w:rPr>
              <w:t>含基层处理、水泥自流平、涂刷界面剂、压线条同色、PVC焊条焊接、安装</w:t>
            </w:r>
          </w:p>
        </w:tc>
        <w:tc>
          <w:tcPr>
            <w:tcW w:w="413" w:type="pct"/>
            <w:vMerge w:val="continue"/>
            <w:tcBorders>
              <w:top w:val="nil"/>
              <w:left w:val="nil"/>
              <w:bottom w:val="single" w:color="000000" w:sz="8" w:space="0"/>
              <w:right w:val="single" w:color="000000" w:sz="8" w:space="0"/>
            </w:tcBorders>
            <w:vAlign w:val="center"/>
          </w:tcPr>
          <w:p w14:paraId="43A7879F">
            <w:pPr>
              <w:widowControl/>
              <w:jc w:val="left"/>
              <w:rPr>
                <w:rFonts w:hint="eastAsia" w:cs="宋体" w:asciiTheme="majorEastAsia" w:hAnsiTheme="majorEastAsia" w:eastAsiaTheme="majorEastAsia"/>
                <w:color w:val="000000"/>
                <w:kern w:val="0"/>
                <w:sz w:val="20"/>
              </w:rPr>
            </w:pPr>
          </w:p>
        </w:tc>
        <w:tc>
          <w:tcPr>
            <w:tcW w:w="342" w:type="pct"/>
            <w:vMerge w:val="continue"/>
            <w:tcBorders>
              <w:top w:val="nil"/>
              <w:left w:val="nil"/>
              <w:bottom w:val="single" w:color="000000" w:sz="8" w:space="0"/>
              <w:right w:val="single" w:color="000000" w:sz="8" w:space="0"/>
            </w:tcBorders>
            <w:vAlign w:val="center"/>
          </w:tcPr>
          <w:p w14:paraId="5DB85725">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bottom w:val="single" w:color="000000" w:sz="8" w:space="0"/>
              <w:right w:val="single" w:color="000000" w:sz="8" w:space="0"/>
            </w:tcBorders>
            <w:vAlign w:val="center"/>
          </w:tcPr>
          <w:p w14:paraId="4AC773A2">
            <w:pPr>
              <w:widowControl/>
              <w:jc w:val="left"/>
              <w:rPr>
                <w:rFonts w:hint="eastAsia" w:cs="宋体" w:asciiTheme="majorEastAsia" w:hAnsiTheme="majorEastAsia" w:eastAsiaTheme="majorEastAsia"/>
                <w:color w:val="000000"/>
                <w:kern w:val="0"/>
                <w:sz w:val="20"/>
              </w:rPr>
            </w:pPr>
          </w:p>
        </w:tc>
        <w:tc>
          <w:tcPr>
            <w:tcW w:w="298" w:type="pct"/>
            <w:vMerge w:val="continue"/>
            <w:tcBorders>
              <w:left w:val="nil"/>
              <w:bottom w:val="single" w:color="000000" w:sz="8" w:space="0"/>
              <w:right w:val="single" w:color="000000" w:sz="8" w:space="0"/>
            </w:tcBorders>
            <w:vAlign w:val="center"/>
          </w:tcPr>
          <w:p w14:paraId="00ABDF0D">
            <w:pPr>
              <w:widowControl/>
              <w:jc w:val="left"/>
              <w:rPr>
                <w:rFonts w:hint="eastAsia" w:cs="宋体" w:asciiTheme="majorEastAsia" w:hAnsiTheme="majorEastAsia" w:eastAsiaTheme="majorEastAsia"/>
                <w:color w:val="000000"/>
                <w:kern w:val="0"/>
                <w:sz w:val="20"/>
              </w:rPr>
            </w:pPr>
          </w:p>
        </w:tc>
      </w:tr>
    </w:tbl>
    <w:p w14:paraId="5A85475C">
      <w:pPr>
        <w:spacing w:line="360" w:lineRule="auto"/>
        <w:ind w:firstLine="480" w:firstLineChars="200"/>
        <w:rPr>
          <w:rFonts w:hint="eastAsia" w:ascii="宋体" w:hAnsi="宋体" w:eastAsia="宋体" w:cs="宋体"/>
          <w:color w:val="000000"/>
          <w:sz w:val="24"/>
          <w:szCs w:val="24"/>
        </w:rPr>
      </w:pPr>
    </w:p>
    <w:p w14:paraId="43310E8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C0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综合</w:t>
      </w:r>
      <w:r>
        <w:rPr>
          <w:rFonts w:hint="eastAsia" w:ascii="宋体" w:hAnsi="宋体" w:eastAsia="宋体" w:cs="宋体"/>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color w:val="000000"/>
          <w:sz w:val="24"/>
          <w:szCs w:val="24"/>
        </w:rPr>
      </w:pPr>
    </w:p>
    <w:p w14:paraId="6DAA6A2E">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6"/>
        <w:rPr>
          <w:rFonts w:hint="eastAsia"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37" w:name="_Toc72431438"/>
      <w:bookmarkStart w:id="38" w:name="_Toc72431762"/>
      <w:r>
        <w:rPr>
          <w:rFonts w:hint="eastAsia" w:ascii="仿宋" w:hAnsi="仿宋" w:eastAsia="仿宋" w:cs="仿宋"/>
          <w:b/>
          <w:sz w:val="32"/>
          <w:szCs w:val="32"/>
        </w:rPr>
        <w:t>书面承诺函</w:t>
      </w:r>
      <w:bookmarkEnd w:id="37"/>
      <w:bookmarkEnd w:id="38"/>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6"/>
        <w:rPr>
          <w:rFonts w:hint="eastAsia"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5695FA8B">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31BF5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7ACD2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A9C0866">
      <w:pPr>
        <w:spacing w:line="360" w:lineRule="auto"/>
        <w:rPr>
          <w:rFonts w:hint="eastAsia" w:ascii="宋体" w:hAnsi="宋体" w:eastAsia="宋体" w:cs="宋体"/>
          <w:color w:val="000000"/>
          <w:sz w:val="24"/>
          <w:szCs w:val="24"/>
        </w:rPr>
      </w:pPr>
    </w:p>
    <w:p w14:paraId="3EFAEF9F">
      <w:pPr>
        <w:rPr>
          <w:rFonts w:hint="eastAsia" w:ascii="宋体" w:hAnsi="宋体" w:eastAsia="宋体" w:cs="宋体"/>
          <w:color w:val="000000"/>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20"/>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CF099F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7822966">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1"/>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0A2F66C3">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215B"/>
    <w:rsid w:val="0006441E"/>
    <w:rsid w:val="000664CC"/>
    <w:rsid w:val="00072F43"/>
    <w:rsid w:val="00096E65"/>
    <w:rsid w:val="000974F8"/>
    <w:rsid w:val="000B4002"/>
    <w:rsid w:val="000D6911"/>
    <w:rsid w:val="000D6B7E"/>
    <w:rsid w:val="000E15A5"/>
    <w:rsid w:val="000E2082"/>
    <w:rsid w:val="000E6050"/>
    <w:rsid w:val="000F0B0F"/>
    <w:rsid w:val="00100925"/>
    <w:rsid w:val="001103F0"/>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E490D"/>
    <w:rsid w:val="001E6BFB"/>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69FB"/>
    <w:rsid w:val="002A084C"/>
    <w:rsid w:val="002A187D"/>
    <w:rsid w:val="002A4225"/>
    <w:rsid w:val="002A4354"/>
    <w:rsid w:val="002A5B01"/>
    <w:rsid w:val="002B78A2"/>
    <w:rsid w:val="002C69D0"/>
    <w:rsid w:val="002D3FCB"/>
    <w:rsid w:val="002E0986"/>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55EBA"/>
    <w:rsid w:val="0095656A"/>
    <w:rsid w:val="009610C8"/>
    <w:rsid w:val="0097261B"/>
    <w:rsid w:val="009745E3"/>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38DB"/>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8685F"/>
    <w:rsid w:val="00D94B93"/>
    <w:rsid w:val="00DA0729"/>
    <w:rsid w:val="00DB02DD"/>
    <w:rsid w:val="00DB164D"/>
    <w:rsid w:val="00DB2A38"/>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A4128"/>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AC3C61"/>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4B3013"/>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6E8336D"/>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7"/>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8"/>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39"/>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0"/>
    <w:qFormat/>
    <w:uiPriority w:val="0"/>
    <w:pPr>
      <w:tabs>
        <w:tab w:val="center" w:pos="4153"/>
        <w:tab w:val="right" w:pos="8306"/>
      </w:tabs>
      <w:snapToGrid w:val="0"/>
      <w:jc w:val="left"/>
    </w:pPr>
    <w:rPr>
      <w:sz w:val="18"/>
      <w:szCs w:val="18"/>
    </w:rPr>
  </w:style>
  <w:style w:type="paragraph" w:styleId="21">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Body Text First Indent 2"/>
    <w:basedOn w:val="11"/>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4"/>
    <w:qFormat/>
    <w:uiPriority w:val="0"/>
    <w:rPr>
      <w:rFonts w:eastAsia="宋体"/>
      <w:kern w:val="2"/>
      <w:sz w:val="28"/>
      <w:szCs w:val="24"/>
      <w:lang w:val="en-US" w:eastAsia="zh-CN" w:bidi="ar-SA"/>
    </w:rPr>
  </w:style>
  <w:style w:type="character" w:customStyle="1" w:styleId="38">
    <w:name w:val="批注文字 字符"/>
    <w:link w:val="10"/>
    <w:qFormat/>
    <w:uiPriority w:val="0"/>
    <w:rPr>
      <w:rFonts w:eastAsia="宋体"/>
      <w:kern w:val="2"/>
      <w:sz w:val="21"/>
      <w:lang w:val="en-US" w:eastAsia="zh-CN" w:bidi="ar-SA"/>
    </w:rPr>
  </w:style>
  <w:style w:type="character" w:customStyle="1" w:styleId="39">
    <w:name w:val="日期 字符"/>
    <w:link w:val="17"/>
    <w:qFormat/>
    <w:uiPriority w:val="0"/>
    <w:rPr>
      <w:rFonts w:ascii="Arial" w:hAnsi="Arial" w:eastAsia="楷体_GB2312"/>
      <w:kern w:val="2"/>
      <w:sz w:val="28"/>
      <w:lang w:bidi="ar-SA"/>
    </w:rPr>
  </w:style>
  <w:style w:type="character" w:customStyle="1" w:styleId="40">
    <w:name w:val="页脚 字符"/>
    <w:link w:val="20"/>
    <w:qFormat/>
    <w:uiPriority w:val="0"/>
    <w:rPr>
      <w:kern w:val="2"/>
      <w:sz w:val="18"/>
      <w:szCs w:val="18"/>
    </w:rPr>
  </w:style>
  <w:style w:type="character" w:customStyle="1" w:styleId="41">
    <w:name w:val="页眉 字符"/>
    <w:link w:val="21"/>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5"/>
    <w:qFormat/>
    <w:uiPriority w:val="0"/>
    <w:pPr>
      <w:spacing w:line="240" w:lineRule="auto"/>
    </w:pPr>
    <w:rPr>
      <w:rFonts w:ascii="宋体" w:hAnsi="宋体" w:eastAsia="宋体"/>
      <w:sz w:val="21"/>
    </w:rPr>
  </w:style>
  <w:style w:type="paragraph" w:customStyle="1" w:styleId="78">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7018</Words>
  <Characters>7212</Characters>
  <Lines>396</Lines>
  <Paragraphs>470</Paragraphs>
  <TotalTime>5</TotalTime>
  <ScaleCrop>false</ScaleCrop>
  <LinksUpToDate>false</LinksUpToDate>
  <CharactersWithSpaces>7509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2025-04-25T09:47:14Z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479682F17528446F8B2ABCDCD03440ED_13</vt:lpwstr>
  </property>
  <property fmtid="{D5CDD505-2E9C-101B-9397-08002B2CF9AE}" pid="4" name="KSOTemplateDocerSaveRecord">
    <vt:lpwstr>eyJoZGlkIjoiNTUyMTFkZDc3YzZlYmNlYmUxMWUyYjZkMzBlZjExNGIiLCJ1c2VySWQiOiI2ODM4MTg5ODEifQ==</vt:lpwstr>
  </property>
</Properties>
</file>