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2"/>
        <w:rPr>
          <w:rFonts w:hint="eastAsia"/>
        </w:rPr>
      </w:pPr>
    </w:p>
    <w:p w14:paraId="58DAE1F8">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3961DABD">
      <w:pPr>
        <w:widowControl/>
        <w:spacing w:line="276" w:lineRule="auto"/>
        <w:jc w:val="center"/>
        <w:rPr>
          <w:rFonts w:hint="eastAsia" w:ascii="宋体" w:hAnsi="宋体" w:eastAsia="宋体" w:cs="宋体"/>
          <w:bCs/>
          <w:sz w:val="48"/>
          <w:szCs w:val="48"/>
          <w:lang w:eastAsia="zh-CN"/>
        </w:rPr>
      </w:pPr>
      <w:r>
        <w:rPr>
          <w:rFonts w:hint="eastAsia" w:ascii="宋体" w:hAnsi="宋体" w:eastAsia="宋体" w:cs="宋体"/>
          <w:bCs/>
          <w:sz w:val="48"/>
          <w:szCs w:val="48"/>
          <w:lang w:eastAsia="zh-CN"/>
        </w:rPr>
        <w:t>电化学工作站采购</w:t>
      </w:r>
    </w:p>
    <w:p w14:paraId="4B96E8B7">
      <w:pPr>
        <w:widowControl/>
        <w:spacing w:line="276" w:lineRule="auto"/>
        <w:jc w:val="center"/>
        <w:rPr>
          <w:rFonts w:hint="eastAsia" w:ascii="宋体" w:hAnsi="宋体" w:eastAsia="宋体" w:cs="宋体"/>
          <w:b/>
          <w:sz w:val="72"/>
          <w:szCs w:val="72"/>
        </w:rPr>
      </w:pPr>
    </w:p>
    <w:p w14:paraId="3E6D326D">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1C048A1F">
      <w:pPr>
        <w:pStyle w:val="80"/>
        <w:spacing w:line="360" w:lineRule="auto"/>
        <w:rPr>
          <w:rFonts w:hint="eastAsia" w:hAnsi="宋体" w:eastAsia="宋体" w:cs="宋体"/>
        </w:rPr>
      </w:pPr>
    </w:p>
    <w:p w14:paraId="73F67E2D">
      <w:pPr>
        <w:pStyle w:val="80"/>
        <w:spacing w:line="360" w:lineRule="auto"/>
        <w:rPr>
          <w:rFonts w:hint="eastAsia" w:hAnsi="宋体" w:eastAsia="宋体" w:cs="宋体"/>
        </w:rPr>
      </w:pPr>
    </w:p>
    <w:p w14:paraId="6AA1C9C5">
      <w:pPr>
        <w:pStyle w:val="80"/>
        <w:spacing w:line="360" w:lineRule="auto"/>
        <w:rPr>
          <w:rFonts w:hint="eastAsia" w:hAnsi="宋体" w:eastAsia="宋体" w:cs="宋体"/>
        </w:rPr>
      </w:pPr>
    </w:p>
    <w:p w14:paraId="2AAD95B3">
      <w:pPr>
        <w:pStyle w:val="80"/>
        <w:spacing w:line="360" w:lineRule="auto"/>
        <w:rPr>
          <w:rFonts w:hint="eastAsia" w:hAnsi="宋体" w:eastAsia="宋体" w:cs="宋体"/>
        </w:rPr>
      </w:pPr>
    </w:p>
    <w:p w14:paraId="3991C49E">
      <w:pPr>
        <w:widowControl/>
        <w:rPr>
          <w:rFonts w:hint="eastAsia" w:ascii="宋体" w:hAnsi="宋体" w:eastAsia="宋体" w:cs="宋体"/>
          <w:b/>
          <w:kern w:val="0"/>
          <w:sz w:val="28"/>
        </w:rPr>
      </w:pPr>
    </w:p>
    <w:p w14:paraId="26E69A31">
      <w:pPr>
        <w:widowControl/>
        <w:rPr>
          <w:rFonts w:hint="eastAsia" w:ascii="宋体" w:hAnsi="宋体" w:eastAsia="宋体" w:cs="宋体"/>
          <w:b/>
          <w:kern w:val="0"/>
          <w:sz w:val="28"/>
        </w:rPr>
      </w:pPr>
    </w:p>
    <w:p w14:paraId="270D2392">
      <w:pPr>
        <w:widowControl/>
        <w:rPr>
          <w:rFonts w:hint="eastAsia" w:ascii="宋体" w:hAnsi="宋体" w:eastAsia="宋体" w:cs="宋体"/>
          <w:b/>
          <w:kern w:val="0"/>
          <w:sz w:val="28"/>
        </w:rPr>
      </w:pPr>
    </w:p>
    <w:p w14:paraId="142EB770">
      <w:pPr>
        <w:widowControl/>
        <w:rPr>
          <w:rFonts w:hint="eastAsia" w:ascii="宋体" w:hAnsi="宋体" w:eastAsia="宋体" w:cs="宋体"/>
          <w:b/>
          <w:kern w:val="0"/>
          <w:sz w:val="28"/>
        </w:rPr>
      </w:pPr>
    </w:p>
    <w:p w14:paraId="38E96C0D">
      <w:pPr>
        <w:widowControl/>
        <w:rPr>
          <w:rFonts w:hint="eastAsia" w:ascii="宋体" w:hAnsi="宋体" w:eastAsia="宋体" w:cs="宋体"/>
          <w:b/>
          <w:kern w:val="0"/>
          <w:sz w:val="28"/>
        </w:rPr>
      </w:pPr>
    </w:p>
    <w:p w14:paraId="4609886A">
      <w:pPr>
        <w:widowControl/>
        <w:rPr>
          <w:rFonts w:hint="eastAsia" w:ascii="宋体" w:hAnsi="宋体" w:eastAsia="宋体" w:cs="宋体"/>
          <w:b/>
          <w:kern w:val="0"/>
          <w:sz w:val="28"/>
        </w:rPr>
      </w:pPr>
    </w:p>
    <w:p w14:paraId="72365CB6">
      <w:pPr>
        <w:widowControl/>
        <w:rPr>
          <w:rFonts w:hint="eastAsia" w:ascii="宋体" w:hAnsi="宋体" w:eastAsia="宋体" w:cs="宋体"/>
          <w:b/>
          <w:kern w:val="0"/>
          <w:sz w:val="28"/>
        </w:rPr>
      </w:pPr>
    </w:p>
    <w:p w14:paraId="110C790C">
      <w:pPr>
        <w:widowControl/>
        <w:rPr>
          <w:rFonts w:hint="eastAsia" w:ascii="宋体" w:hAnsi="宋体" w:eastAsia="宋体" w:cs="宋体"/>
          <w:b/>
          <w:kern w:val="0"/>
          <w:sz w:val="28"/>
        </w:rPr>
      </w:pPr>
    </w:p>
    <w:p w14:paraId="3E3E3216">
      <w:pPr>
        <w:widowControl/>
        <w:rPr>
          <w:rFonts w:hint="eastAsia" w:ascii="宋体" w:hAnsi="宋体" w:eastAsia="宋体" w:cs="宋体"/>
          <w:b/>
          <w:kern w:val="0"/>
          <w:sz w:val="28"/>
        </w:rPr>
      </w:pPr>
    </w:p>
    <w:p w14:paraId="0A5AA475">
      <w:pPr>
        <w:widowControl/>
        <w:rPr>
          <w:rFonts w:hint="eastAsia" w:ascii="宋体" w:hAnsi="宋体" w:eastAsia="宋体" w:cs="宋体"/>
          <w:b/>
          <w:kern w:val="0"/>
          <w:sz w:val="28"/>
        </w:rPr>
      </w:pPr>
    </w:p>
    <w:p w14:paraId="3D69D12B">
      <w:pPr>
        <w:widowControl/>
        <w:rPr>
          <w:rFonts w:hint="eastAsia" w:ascii="宋体" w:hAnsi="宋体" w:eastAsia="宋体" w:cs="宋体"/>
          <w:b/>
          <w:kern w:val="0"/>
          <w:sz w:val="28"/>
        </w:rPr>
      </w:pPr>
    </w:p>
    <w:p w14:paraId="2A748752">
      <w:pPr>
        <w:widowControl/>
        <w:rPr>
          <w:rFonts w:hint="eastAsia" w:ascii="宋体" w:hAnsi="宋体" w:eastAsia="宋体" w:cs="宋体"/>
          <w:b/>
          <w:kern w:val="0"/>
          <w:sz w:val="28"/>
        </w:rPr>
      </w:pPr>
    </w:p>
    <w:p w14:paraId="3FA86FB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5BD55F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5DEB2222">
      <w:pPr>
        <w:jc w:val="center"/>
        <w:rPr>
          <w:rFonts w:hint="eastAsia" w:ascii="宋体" w:hAnsi="宋体" w:eastAsia="宋体" w:cs="宋体"/>
        </w:rPr>
      </w:pPr>
      <w:r>
        <w:rPr>
          <w:rFonts w:hint="eastAsia" w:ascii="宋体" w:hAnsi="宋体" w:eastAsia="宋体" w:cs="宋体"/>
          <w:bCs/>
          <w:kern w:val="0"/>
          <w:sz w:val="32"/>
          <w:szCs w:val="21"/>
        </w:rPr>
        <w:t xml:space="preserve"> 2025年 8月 </w:t>
      </w:r>
      <w:r>
        <w:rPr>
          <w:rFonts w:hint="eastAsia" w:ascii="宋体" w:hAnsi="宋体" w:eastAsia="宋体" w:cs="宋体"/>
          <w:b/>
          <w:color w:val="000000"/>
          <w:sz w:val="24"/>
          <w:szCs w:val="24"/>
        </w:rPr>
        <w:br w:type="page"/>
      </w:r>
    </w:p>
    <w:p w14:paraId="22E42136">
      <w:pPr>
        <w:rPr>
          <w:rFonts w:hint="eastAsia" w:ascii="宋体" w:hAnsi="宋体" w:eastAsia="宋体" w:cs="宋体"/>
          <w:b/>
          <w:color w:val="000000"/>
          <w:sz w:val="24"/>
          <w:szCs w:val="24"/>
        </w:rPr>
      </w:pPr>
    </w:p>
    <w:p w14:paraId="261D82C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5DC4919C">
      <w:pPr>
        <w:jc w:val="center"/>
        <w:rPr>
          <w:rFonts w:hint="eastAsia" w:ascii="宋体" w:hAnsi="宋体" w:eastAsia="宋体" w:cs="宋体"/>
          <w:b/>
          <w:color w:val="000000"/>
          <w:sz w:val="24"/>
          <w:szCs w:val="24"/>
        </w:rPr>
      </w:pPr>
    </w:p>
    <w:p w14:paraId="33484E71">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F966C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4BA67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DCB03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DFC82D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090E1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1</w:t>
      </w:r>
    </w:p>
    <w:p w14:paraId="67FD059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429BFB">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FDE856">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47FBC4">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r>
        <w:rPr>
          <w:rFonts w:hint="eastAsia" w:ascii="宋体" w:hAnsi="宋体" w:eastAsia="宋体" w:cs="宋体"/>
          <w:color w:val="000000"/>
          <w:sz w:val="24"/>
          <w:szCs w:val="24"/>
        </w:rPr>
        <w:br w:type="page"/>
      </w:r>
    </w:p>
    <w:bookmarkEnd w:id="0"/>
    <w:bookmarkEnd w:id="1"/>
    <w:p w14:paraId="10B603A3">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76B92001">
      <w:pPr>
        <w:spacing w:line="360" w:lineRule="auto"/>
        <w:rPr>
          <w:rFonts w:hint="eastAsia" w:ascii="宋体" w:hAnsi="宋体" w:eastAsia="宋体" w:cs="宋体"/>
          <w:sz w:val="24"/>
          <w:szCs w:val="24"/>
        </w:rPr>
      </w:pPr>
    </w:p>
    <w:p w14:paraId="0F188466">
      <w:pPr>
        <w:pStyle w:val="92"/>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lang w:eastAsia="zh-CN"/>
        </w:rPr>
        <w:t>电化学工作站采购</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67A59176">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eastAsia="zh-CN"/>
        </w:rPr>
        <w:t>电化学工作站采购</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4、采购内容：电化学工作站设备，具体详见采购需求。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0B7A7262">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67E79CF">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2025年8月20日15：30（北京时间）</w:t>
      </w:r>
    </w:p>
    <w:p w14:paraId="548567D4">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37DED89F">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递交地点：合肥市蜀山区湖光路电商园四期E栋5楼501室</w:t>
      </w:r>
    </w:p>
    <w:p w14:paraId="07D96791">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6EB33005">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76F589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陈老师</w:t>
      </w:r>
    </w:p>
    <w:p w14:paraId="7CDFBD2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18656350806</w:t>
      </w:r>
    </w:p>
    <w:p w14:paraId="234BFBF2">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xing.zhang@ahu.edu.cn</w:t>
      </w:r>
    </w:p>
    <w:p w14:paraId="2259149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06CCEAA">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74E53A0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BA45EB5">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6BF5D343">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55256FDB">
      <w:pPr>
        <w:spacing w:line="360" w:lineRule="auto"/>
        <w:rPr>
          <w:rFonts w:hint="eastAsia" w:ascii="宋体" w:hAnsi="宋体" w:eastAsia="宋体" w:cs="宋体"/>
          <w:color w:val="000000"/>
          <w:sz w:val="24"/>
          <w:szCs w:val="24"/>
        </w:rPr>
      </w:pPr>
    </w:p>
    <w:p w14:paraId="19A72BA3">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lang w:eastAsia="zh-CN"/>
              </w:rPr>
            </w:pPr>
            <w:r>
              <w:rPr>
                <w:rFonts w:hint="eastAsia" w:ascii="宋体" w:hAnsi="宋体" w:eastAsia="宋体" w:cs="宋体"/>
                <w:kern w:val="0"/>
                <w:sz w:val="24"/>
                <w:szCs w:val="24"/>
                <w:lang w:eastAsia="zh-CN"/>
              </w:rPr>
              <w:t>电化学工作站采购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rPr>
            </w:pPr>
            <w:r>
              <w:rPr>
                <w:rFonts w:hint="eastAsia" w:ascii="宋体" w:hAnsi="宋体" w:eastAsia="宋体" w:cs="宋体"/>
                <w:sz w:val="24"/>
              </w:rPr>
              <w:t>5.9万元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eastAsia" w:ascii="宋体" w:hAnsi="宋体" w:eastAsia="宋体" w:cs="宋体"/>
                <w:sz w:val="24"/>
              </w:rPr>
            </w:pPr>
            <w:r>
              <w:rPr>
                <w:rFonts w:hint="eastAsia" w:ascii="宋体" w:hAnsi="宋体" w:eastAsia="宋体" w:cs="宋体"/>
                <w:sz w:val="24"/>
              </w:rPr>
              <w:t>合同签订后，接采购人通知15日历天内完成交货、安装、调试、验收合格并交付使用。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eastAsia" w:ascii="宋体" w:hAnsi="宋体" w:eastAsia="宋体" w:cs="宋体"/>
                <w:sz w:val="24"/>
              </w:rPr>
            </w:pPr>
            <w:r>
              <w:rPr>
                <w:rFonts w:hint="eastAsia" w:ascii="宋体" w:hAnsi="宋体" w:eastAsia="宋体" w:cs="宋体"/>
                <w:sz w:val="24"/>
              </w:rPr>
              <w:t>合肥市蜀山区湖光路电商园四期E楼</w:t>
            </w:r>
            <w:r>
              <w:rPr>
                <w:rFonts w:hint="eastAsia" w:ascii="宋体" w:hAnsi="宋体" w:eastAsia="宋体" w:cs="宋体"/>
                <w:sz w:val="24"/>
                <w:szCs w:val="24"/>
              </w:rPr>
              <w:t>501</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rPr>
            </w:pPr>
            <w:r>
              <w:rPr>
                <w:rFonts w:hint="eastAsia" w:ascii="宋体" w:hAnsi="宋体" w:eastAsia="宋体" w:cs="宋体"/>
                <w:kern w:val="0"/>
                <w:sz w:val="24"/>
                <w:szCs w:val="24"/>
              </w:rPr>
              <w:t>合同签订后支付签约合同价的40%，货到并验收合格后支付签约合同价的57%,余款3%待质保期结束后一次性付清。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rPr>
            </w:pPr>
            <w:r>
              <w:rPr>
                <w:rFonts w:hint="eastAsia" w:ascii="宋体" w:hAnsi="宋体" w:eastAsia="宋体" w:cs="宋体"/>
                <w:sz w:val="24"/>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5ECA5677">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递交地点：合肥市蜀山区湖光路电商园四期E栋5楼</w:t>
            </w:r>
            <w:r>
              <w:rPr>
                <w:rFonts w:hint="eastAsia" w:hAnsi="宋体" w:eastAsia="宋体" w:cs="宋体"/>
                <w:sz w:val="24"/>
                <w:szCs w:val="24"/>
              </w:rPr>
              <w:t>501室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370A760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01C8B796">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3FFDA23">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F85CE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自验收合格之日起1年。</w:t>
            </w:r>
          </w:p>
        </w:tc>
      </w:tr>
    </w:tbl>
    <w:p w14:paraId="7BE1D2F9">
      <w:pPr>
        <w:pStyle w:val="81"/>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DC672AC">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1E50834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BFF041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3EC0AF47">
      <w:pPr>
        <w:pStyle w:val="2"/>
        <w:keepLines/>
        <w:ind w:left="720" w:hanging="720"/>
        <w:jc w:val="center"/>
        <w:rPr>
          <w:rFonts w:hint="eastAsia" w:ascii="宋体" w:hAnsi="宋体" w:eastAsia="宋体" w:cs="宋体"/>
          <w:color w:val="000000"/>
          <w:sz w:val="32"/>
        </w:rPr>
      </w:pPr>
      <w:bookmarkStart w:id="11" w:name="_Toc15000"/>
    </w:p>
    <w:p w14:paraId="4983B98A">
      <w:pPr>
        <w:rPr>
          <w:rFonts w:hint="eastAsia" w:ascii="宋体" w:hAnsi="宋体" w:eastAsia="宋体" w:cs="宋体"/>
          <w:color w:val="000000"/>
          <w:sz w:val="32"/>
        </w:rPr>
      </w:pPr>
      <w:r>
        <w:rPr>
          <w:rFonts w:ascii="宋体" w:hAnsi="宋体" w:eastAsia="宋体" w:cs="宋体"/>
          <w:color w:val="000000"/>
          <w:sz w:val="32"/>
        </w:rPr>
        <w:br w:type="page"/>
      </w:r>
    </w:p>
    <w:p w14:paraId="3887F812">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3819F60F">
      <w:pPr>
        <w:pStyle w:val="81"/>
        <w:ind w:firstLine="482" w:firstLineChars="200"/>
        <w:jc w:val="both"/>
        <w:rPr>
          <w:rFonts w:hint="eastAsia" w:cs="宋体"/>
          <w:color w:val="000000"/>
          <w:sz w:val="24"/>
          <w:szCs w:val="24"/>
        </w:rPr>
      </w:pPr>
      <w:bookmarkStart w:id="12" w:name="_Toc30095"/>
      <w:bookmarkStart w:id="13" w:name="_Toc18651"/>
      <w:bookmarkStart w:id="14" w:name="_Toc6091"/>
      <w:bookmarkStart w:id="15" w:name="_Toc29684"/>
      <w:r>
        <w:rPr>
          <w:rFonts w:hint="eastAsia" w:cs="宋体"/>
          <w:color w:val="000000"/>
          <w:sz w:val="24"/>
          <w:szCs w:val="24"/>
        </w:rPr>
        <w:t>包含不限于以下内容：</w:t>
      </w:r>
      <w:bookmarkEnd w:id="12"/>
      <w:bookmarkEnd w:id="13"/>
      <w:bookmarkEnd w:id="14"/>
      <w:bookmarkEnd w:id="15"/>
    </w:p>
    <w:p w14:paraId="70AD16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7CE022D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129B8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4919DB9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7A9A8E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8D1E1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3D841D24">
      <w:pPr>
        <w:pStyle w:val="81"/>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764480D">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03F675E">
      <w:pPr>
        <w:spacing w:line="360" w:lineRule="auto"/>
        <w:rPr>
          <w:rFonts w:hint="eastAsia" w:ascii="宋体" w:hAnsi="宋体" w:eastAsia="宋体" w:cs="宋体"/>
          <w:color w:val="000000"/>
          <w:sz w:val="24"/>
          <w:szCs w:val="28"/>
        </w:rPr>
      </w:pPr>
    </w:p>
    <w:p w14:paraId="1773FECC">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2DE37EAD">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216158627"/>
      <w:bookmarkStart w:id="18" w:name="_Toc363199267"/>
      <w:bookmarkStart w:id="19" w:name="_Toc6149"/>
      <w:r>
        <w:rPr>
          <w:rFonts w:hint="eastAsia" w:ascii="宋体" w:hAnsi="宋体" w:eastAsia="宋体" w:cs="宋体"/>
          <w:b/>
          <w:color w:val="000000"/>
          <w:sz w:val="24"/>
          <w:szCs w:val="28"/>
        </w:rPr>
        <w:t>一、项目概况</w:t>
      </w:r>
    </w:p>
    <w:p w14:paraId="1DC873C0">
      <w:pPr>
        <w:adjustRightInd w:val="0"/>
        <w:snapToGrid w:val="0"/>
        <w:spacing w:line="360" w:lineRule="auto"/>
        <w:ind w:firstLine="480" w:firstLineChars="200"/>
        <w:rPr>
          <w:rFonts w:hint="eastAsia" w:ascii="宋体" w:hAnsi="宋体" w:eastAsia="宋体" w:cs="宋体"/>
          <w:sz w:val="24"/>
          <w:szCs w:val="28"/>
        </w:rPr>
      </w:pPr>
      <w:r>
        <w:rPr>
          <w:rFonts w:ascii="宋体" w:hAnsi="宋体" w:eastAsia="宋体" w:cs="宋体"/>
          <w:sz w:val="24"/>
          <w:szCs w:val="28"/>
        </w:rPr>
        <w:t>电化学工作站是材料科学、能源研究和工业分析领域的核心设备，用于精确测量电极界面反应动力学、材料电化学性能及反应机理。传统测试方法（如手动电解池）存在数据精度低、参数控制粗糙、自动化程度不足等问题。为满足实验室在能源材料开发、</w:t>
      </w:r>
      <w:r>
        <w:rPr>
          <w:rFonts w:hint="eastAsia" w:ascii="宋体" w:hAnsi="宋体" w:eastAsia="宋体" w:cs="宋体"/>
          <w:sz w:val="24"/>
          <w:szCs w:val="28"/>
        </w:rPr>
        <w:t>电化学传感器开发</w:t>
      </w:r>
      <w:r>
        <w:rPr>
          <w:rFonts w:ascii="宋体" w:hAnsi="宋体" w:eastAsia="宋体" w:cs="宋体"/>
          <w:sz w:val="24"/>
          <w:szCs w:val="28"/>
        </w:rPr>
        <w:t>、电催化机理研究等方面的前沿需求，亟需采购高精度电化学工作站。</w:t>
      </w:r>
    </w:p>
    <w:p w14:paraId="440A2D0D">
      <w:pPr>
        <w:adjustRightInd w:val="0"/>
        <w:snapToGrid w:val="0"/>
        <w:spacing w:line="360" w:lineRule="auto"/>
        <w:ind w:firstLine="480" w:firstLineChars="200"/>
        <w:rPr>
          <w:rFonts w:hint="eastAsia" w:ascii="宋体" w:hAnsi="宋体" w:eastAsia="宋体" w:cs="宋体"/>
          <w:sz w:val="24"/>
          <w:szCs w:val="28"/>
        </w:rPr>
      </w:pPr>
      <w:bookmarkStart w:id="20" w:name="OLE_LINK17"/>
      <w:bookmarkStart w:id="21" w:name="OLE_LINK16"/>
      <w:r>
        <w:rPr>
          <w:rFonts w:hint="eastAsia" w:ascii="宋体" w:hAnsi="宋体" w:eastAsia="宋体" w:cs="宋体"/>
          <w:sz w:val="24"/>
          <w:szCs w:val="28"/>
        </w:rPr>
        <w:t>二、</w:t>
      </w:r>
      <w:r>
        <w:rPr>
          <w:rFonts w:ascii="宋体" w:hAnsi="宋体" w:eastAsia="宋体" w:cs="宋体"/>
          <w:sz w:val="24"/>
          <w:szCs w:val="28"/>
        </w:rPr>
        <w:t>技术需求</w:t>
      </w:r>
    </w:p>
    <w:p w14:paraId="78C30A97">
      <w:pPr>
        <w:adjustRightInd w:val="0"/>
        <w:snapToGrid w:val="0"/>
        <w:spacing w:line="360" w:lineRule="auto"/>
        <w:ind w:firstLine="480" w:firstLineChars="200"/>
        <w:rPr>
          <w:rFonts w:hint="eastAsia" w:ascii="宋体" w:hAnsi="宋体" w:eastAsia="宋体" w:cs="宋体"/>
          <w:b/>
          <w:bCs/>
          <w:sz w:val="24"/>
          <w:szCs w:val="28"/>
        </w:rPr>
      </w:pPr>
      <w:r>
        <w:rPr>
          <w:rFonts w:hint="eastAsia" w:ascii="宋体" w:hAnsi="宋体" w:eastAsia="宋体" w:cs="宋体"/>
          <w:sz w:val="24"/>
          <w:szCs w:val="28"/>
        </w:rPr>
        <w:t>①、电化学工作站技术指标：</w:t>
      </w:r>
    </w:p>
    <w:p w14:paraId="4C4D8A47">
      <w:pPr>
        <w:keepNext w:val="0"/>
        <w:keepLines w:val="0"/>
        <w:pageBreakBefore w:val="0"/>
        <w:widowControl w:val="0"/>
        <w:kinsoku/>
        <w:wordWrap/>
        <w:overflowPunct/>
        <w:topLinePunct w:val="0"/>
        <w:autoSpaceDE/>
        <w:autoSpaceDN/>
        <w:bidi w:val="0"/>
        <w:adjustRightInd w:val="0"/>
        <w:snapToGrid w:val="0"/>
        <w:spacing w:line="360" w:lineRule="auto"/>
        <w:ind w:left="479" w:leftChars="228" w:firstLine="0" w:firstLineChars="0"/>
        <w:jc w:val="both"/>
        <w:textAlignment w:val="auto"/>
        <w:rPr>
          <w:rFonts w:hint="eastAsia" w:ascii="宋体" w:hAnsi="宋体" w:eastAsia="宋体" w:cs="宋体"/>
          <w:sz w:val="24"/>
          <w:szCs w:val="28"/>
        </w:rPr>
      </w:pPr>
      <w:r>
        <w:rPr>
          <w:rFonts w:hint="eastAsia" w:ascii="宋体" w:hAnsi="宋体" w:eastAsia="宋体" w:cs="宋体"/>
          <w:sz w:val="24"/>
          <w:szCs w:val="28"/>
        </w:rPr>
        <w:t>1.恒电位仪</w:t>
      </w:r>
      <w:r>
        <w:rPr>
          <w:rFonts w:hint="eastAsia" w:ascii="宋体" w:hAnsi="宋体" w:eastAsia="宋体" w:cs="宋体"/>
          <w:sz w:val="24"/>
          <w:szCs w:val="28"/>
        </w:rPr>
        <w:br w:type="textWrapping"/>
      </w:r>
      <w:r>
        <w:rPr>
          <w:rFonts w:hint="eastAsia" w:ascii="宋体" w:hAnsi="宋体" w:eastAsia="宋体" w:cs="宋体"/>
          <w:sz w:val="24"/>
          <w:szCs w:val="28"/>
        </w:rPr>
        <w:t>1.1 零阻电流计</w:t>
      </w:r>
      <w:r>
        <w:rPr>
          <w:rFonts w:hint="eastAsia" w:ascii="宋体" w:hAnsi="宋体" w:eastAsia="宋体" w:cs="宋体"/>
          <w:sz w:val="24"/>
          <w:szCs w:val="28"/>
        </w:rPr>
        <w:br w:type="textWrapping"/>
      </w:r>
      <w:r>
        <w:rPr>
          <w:rFonts w:hint="eastAsia" w:ascii="宋体" w:hAnsi="宋体" w:eastAsia="宋体" w:cs="宋体"/>
          <w:sz w:val="24"/>
          <w:szCs w:val="28"/>
        </w:rPr>
        <w:t>1.2 2，3，4电极结构</w:t>
      </w:r>
      <w:r>
        <w:rPr>
          <w:rFonts w:hint="eastAsia" w:ascii="宋体" w:hAnsi="宋体" w:eastAsia="宋体" w:cs="宋体"/>
          <w:sz w:val="24"/>
          <w:szCs w:val="28"/>
        </w:rPr>
        <w:br w:type="textWrapping"/>
      </w:r>
      <w:r>
        <w:rPr>
          <w:rFonts w:hint="eastAsia" w:ascii="宋体" w:hAnsi="宋体" w:eastAsia="宋体" w:cs="宋体"/>
          <w:sz w:val="24"/>
          <w:szCs w:val="28"/>
        </w:rPr>
        <w:t>1.3 浮动地线或实地</w:t>
      </w:r>
      <w:r>
        <w:rPr>
          <w:rFonts w:hint="eastAsia" w:ascii="宋体" w:hAnsi="宋体" w:eastAsia="宋体" w:cs="宋体"/>
          <w:sz w:val="24"/>
          <w:szCs w:val="28"/>
        </w:rPr>
        <w:br w:type="textWrapping"/>
      </w:r>
      <w:r>
        <w:rPr>
          <w:rFonts w:hint="eastAsia" w:ascii="宋体" w:hAnsi="宋体" w:eastAsia="宋体" w:cs="宋体"/>
          <w:sz w:val="24"/>
          <w:szCs w:val="28"/>
        </w:rPr>
        <w:t>1.4 最大电位范围：±10 V</w:t>
      </w:r>
      <w:r>
        <w:rPr>
          <w:rFonts w:hint="eastAsia" w:ascii="宋体" w:hAnsi="宋体" w:eastAsia="宋体" w:cs="宋体"/>
          <w:sz w:val="24"/>
          <w:szCs w:val="28"/>
        </w:rPr>
        <w:br w:type="textWrapping"/>
      </w:r>
      <w:r>
        <w:rPr>
          <w:rFonts w:hint="eastAsia" w:ascii="宋体" w:hAnsi="宋体" w:eastAsia="宋体" w:cs="宋体"/>
          <w:sz w:val="24"/>
          <w:szCs w:val="28"/>
        </w:rPr>
        <w:t>1.5 最大电流：±250 mA 连续, ±300 mA 峰值</w:t>
      </w:r>
      <w:r>
        <w:rPr>
          <w:rFonts w:hint="eastAsia" w:ascii="宋体" w:hAnsi="宋体" w:eastAsia="宋体" w:cs="宋体"/>
          <w:sz w:val="24"/>
          <w:szCs w:val="28"/>
        </w:rPr>
        <w:br w:type="textWrapping"/>
      </w:r>
      <w:r>
        <w:rPr>
          <w:rFonts w:hint="eastAsia" w:ascii="宋体" w:hAnsi="宋体" w:eastAsia="宋体" w:cs="宋体"/>
          <w:sz w:val="24"/>
          <w:szCs w:val="28"/>
        </w:rPr>
        <w:t>1.6 槽压：±13 V</w:t>
      </w:r>
      <w:r>
        <w:rPr>
          <w:rFonts w:hint="eastAsia" w:ascii="宋体" w:hAnsi="宋体" w:eastAsia="宋体" w:cs="宋体"/>
          <w:sz w:val="24"/>
          <w:szCs w:val="28"/>
        </w:rPr>
        <w:br w:type="textWrapping"/>
      </w:r>
      <w:r>
        <w:rPr>
          <w:rFonts w:hint="eastAsia" w:ascii="宋体" w:hAnsi="宋体" w:eastAsia="宋体" w:cs="宋体"/>
          <w:sz w:val="24"/>
          <w:szCs w:val="28"/>
        </w:rPr>
        <w:t>1.7 恒电位仪上升时间： 小于 1µs, 通常0.8µs</w:t>
      </w:r>
      <w:r>
        <w:rPr>
          <w:rFonts w:hint="eastAsia" w:ascii="宋体" w:hAnsi="宋体" w:eastAsia="宋体" w:cs="宋体"/>
          <w:sz w:val="24"/>
          <w:szCs w:val="28"/>
        </w:rPr>
        <w:br w:type="textWrapping"/>
      </w:r>
      <w:r>
        <w:rPr>
          <w:rFonts w:hint="eastAsia" w:ascii="宋体" w:hAnsi="宋体" w:eastAsia="宋体" w:cs="宋体"/>
          <w:sz w:val="24"/>
          <w:szCs w:val="28"/>
        </w:rPr>
        <w:t>1.8 恒电位仪带宽（-3分贝）：1 MHz</w:t>
      </w:r>
      <w:r>
        <w:rPr>
          <w:rFonts w:hint="eastAsia" w:ascii="宋体" w:hAnsi="宋体" w:eastAsia="宋体" w:cs="宋体"/>
          <w:sz w:val="24"/>
          <w:szCs w:val="28"/>
        </w:rPr>
        <w:br w:type="textWrapping"/>
      </w:r>
      <w:r>
        <w:rPr>
          <w:rFonts w:hint="eastAsia" w:ascii="宋体" w:hAnsi="宋体" w:eastAsia="宋体" w:cs="宋体"/>
          <w:sz w:val="24"/>
          <w:szCs w:val="28"/>
        </w:rPr>
        <w:t>1.9 所加电位范围：±10 mV, ±50 mV, ±100 mV, ±650 mV, ±3.276 V, ±6.553 V, ±10 V</w:t>
      </w:r>
      <w:r>
        <w:rPr>
          <w:rFonts w:hint="eastAsia" w:ascii="宋体" w:hAnsi="宋体" w:eastAsia="宋体" w:cs="宋体"/>
          <w:sz w:val="24"/>
          <w:szCs w:val="28"/>
        </w:rPr>
        <w:br w:type="textWrapping"/>
      </w:r>
      <w:r>
        <w:rPr>
          <w:rFonts w:hint="eastAsia" w:ascii="宋体" w:hAnsi="宋体" w:eastAsia="宋体" w:cs="宋体"/>
          <w:sz w:val="24"/>
          <w:szCs w:val="28"/>
        </w:rPr>
        <w:t>1.10 所加电位分辨：电位范围的0.0015%</w:t>
      </w:r>
      <w:r>
        <w:rPr>
          <w:rFonts w:hint="eastAsia" w:ascii="宋体" w:hAnsi="宋体" w:eastAsia="宋体" w:cs="宋体"/>
          <w:sz w:val="24"/>
          <w:szCs w:val="28"/>
        </w:rPr>
        <w:br w:type="textWrapping"/>
      </w:r>
      <w:r>
        <w:rPr>
          <w:rFonts w:hint="eastAsia" w:ascii="宋体" w:hAnsi="宋体" w:eastAsia="宋体" w:cs="宋体"/>
          <w:sz w:val="24"/>
          <w:szCs w:val="28"/>
        </w:rPr>
        <w:t>1.11 所加电位准确度： ±1mV,±满量程的0.01%</w:t>
      </w:r>
      <w:r>
        <w:rPr>
          <w:rFonts w:hint="eastAsia" w:ascii="宋体" w:hAnsi="宋体" w:eastAsia="宋体" w:cs="宋体"/>
          <w:sz w:val="24"/>
          <w:szCs w:val="28"/>
        </w:rPr>
        <w:br w:type="textWrapping"/>
      </w:r>
      <w:r>
        <w:rPr>
          <w:rFonts w:hint="eastAsia" w:ascii="宋体" w:hAnsi="宋体" w:eastAsia="宋体" w:cs="宋体"/>
          <w:sz w:val="24"/>
          <w:szCs w:val="28"/>
        </w:rPr>
        <w:t>1.12 所加电位噪声：&lt; 10µV 均方根植</w:t>
      </w:r>
      <w:r>
        <w:rPr>
          <w:rFonts w:hint="eastAsia" w:ascii="宋体" w:hAnsi="宋体" w:eastAsia="宋体" w:cs="宋体"/>
          <w:sz w:val="24"/>
          <w:szCs w:val="28"/>
        </w:rPr>
        <w:br w:type="textWrapping"/>
      </w:r>
      <w:r>
        <w:rPr>
          <w:rFonts w:hint="eastAsia" w:ascii="宋体" w:hAnsi="宋体" w:eastAsia="宋体" w:cs="宋体"/>
          <w:sz w:val="24"/>
          <w:szCs w:val="28"/>
        </w:rPr>
        <w:t>1.13 测量电流范围：±10pA 至±0.25 A，12量程</w:t>
      </w:r>
      <w:r>
        <w:rPr>
          <w:rFonts w:hint="eastAsia" w:ascii="宋体" w:hAnsi="宋体" w:eastAsia="宋体" w:cs="宋体"/>
          <w:sz w:val="24"/>
          <w:szCs w:val="28"/>
        </w:rPr>
        <w:br w:type="textWrapping"/>
      </w:r>
      <w:r>
        <w:rPr>
          <w:rFonts w:hint="eastAsia" w:ascii="宋体" w:hAnsi="宋体" w:eastAsia="宋体" w:cs="宋体"/>
          <w:sz w:val="24"/>
          <w:szCs w:val="28"/>
        </w:rPr>
        <w:t>1.14 测量电流分辨：电流量程的0.0015%，最低0.3fA</w:t>
      </w:r>
      <w:r>
        <w:rPr>
          <w:rFonts w:hint="eastAsia" w:ascii="宋体" w:hAnsi="宋体" w:eastAsia="宋体" w:cs="宋体"/>
          <w:sz w:val="24"/>
          <w:szCs w:val="28"/>
        </w:rPr>
        <w:br w:type="textWrapping"/>
      </w:r>
      <w:r>
        <w:rPr>
          <w:rFonts w:hint="eastAsia" w:ascii="宋体" w:hAnsi="宋体" w:eastAsia="宋体" w:cs="宋体"/>
          <w:sz w:val="24"/>
          <w:szCs w:val="28"/>
        </w:rPr>
        <w:t>1.15 电流测量准确度：电流灵敏度1e-3A/V至1e-7A/V时为0.2%，其他范围为1%。</w:t>
      </w:r>
      <w:r>
        <w:rPr>
          <w:rFonts w:hint="eastAsia" w:ascii="宋体" w:hAnsi="宋体" w:eastAsia="宋体" w:cs="宋体"/>
          <w:sz w:val="24"/>
          <w:szCs w:val="28"/>
        </w:rPr>
        <w:br w:type="textWrapping"/>
      </w:r>
      <w:r>
        <w:rPr>
          <w:rFonts w:hint="eastAsia" w:ascii="宋体" w:hAnsi="宋体" w:eastAsia="宋体" w:cs="宋体"/>
          <w:sz w:val="24"/>
          <w:szCs w:val="28"/>
        </w:rPr>
        <w:t>1.16 输入偏置电流：&lt;10 pA</w:t>
      </w:r>
      <w:r>
        <w:rPr>
          <w:rFonts w:hint="eastAsia" w:ascii="宋体" w:hAnsi="宋体" w:eastAsia="宋体" w:cs="宋体"/>
          <w:sz w:val="24"/>
          <w:szCs w:val="28"/>
        </w:rPr>
        <w:br w:type="textWrapping"/>
      </w:r>
      <w:r>
        <w:rPr>
          <w:rFonts w:hint="eastAsia" w:ascii="宋体" w:hAnsi="宋体" w:eastAsia="宋体" w:cs="宋体"/>
          <w:sz w:val="24"/>
          <w:szCs w:val="28"/>
        </w:rPr>
        <w:t>2.恒电流仪</w:t>
      </w:r>
      <w:r>
        <w:rPr>
          <w:rFonts w:hint="eastAsia" w:ascii="宋体" w:hAnsi="宋体" w:eastAsia="宋体" w:cs="宋体"/>
          <w:sz w:val="24"/>
          <w:szCs w:val="28"/>
        </w:rPr>
        <w:br w:type="textWrapping"/>
      </w:r>
      <w:r>
        <w:rPr>
          <w:rFonts w:hint="eastAsia" w:ascii="宋体" w:hAnsi="宋体" w:eastAsia="宋体" w:cs="宋体"/>
          <w:sz w:val="24"/>
          <w:szCs w:val="28"/>
        </w:rPr>
        <w:t>2.1 恒电流范围：0.3nA –250 mA</w:t>
      </w:r>
      <w:r>
        <w:rPr>
          <w:rFonts w:hint="eastAsia" w:ascii="宋体" w:hAnsi="宋体" w:eastAsia="宋体" w:cs="宋体"/>
          <w:sz w:val="24"/>
          <w:szCs w:val="28"/>
        </w:rPr>
        <w:br w:type="textWrapping"/>
      </w:r>
      <w:r>
        <w:rPr>
          <w:rFonts w:hint="eastAsia" w:ascii="宋体" w:hAnsi="宋体" w:eastAsia="宋体" w:cs="宋体"/>
          <w:sz w:val="24"/>
          <w:szCs w:val="28"/>
        </w:rPr>
        <w:t>2.2 所加电流分辨率：电流范围的0.03%</w:t>
      </w:r>
      <w:r>
        <w:rPr>
          <w:rFonts w:hint="eastAsia" w:ascii="宋体" w:hAnsi="宋体" w:eastAsia="宋体" w:cs="宋体"/>
          <w:sz w:val="24"/>
          <w:szCs w:val="28"/>
        </w:rPr>
        <w:br w:type="textWrapping"/>
      </w:r>
      <w:r>
        <w:rPr>
          <w:rFonts w:hint="eastAsia" w:ascii="宋体" w:hAnsi="宋体" w:eastAsia="宋体" w:cs="宋体"/>
          <w:sz w:val="24"/>
          <w:szCs w:val="28"/>
        </w:rPr>
        <w:t>2.3 测量电位范围： ±0.025V, ±0.1V，±0.25V，±1V，±2.5V，±10V</w:t>
      </w:r>
      <w:r>
        <w:rPr>
          <w:rFonts w:hint="eastAsia" w:ascii="宋体" w:hAnsi="宋体" w:eastAsia="宋体" w:cs="宋体"/>
          <w:sz w:val="24"/>
          <w:szCs w:val="28"/>
        </w:rPr>
        <w:br w:type="textWrapping"/>
      </w:r>
      <w:r>
        <w:rPr>
          <w:rFonts w:hint="eastAsia" w:ascii="宋体" w:hAnsi="宋体" w:eastAsia="宋体" w:cs="宋体"/>
          <w:sz w:val="24"/>
          <w:szCs w:val="28"/>
        </w:rPr>
        <w:t>2.4 测量电位分辨率：测量范围的0.0015%</w:t>
      </w:r>
      <w:r>
        <w:rPr>
          <w:rFonts w:hint="eastAsia" w:ascii="宋体" w:hAnsi="宋体" w:eastAsia="宋体" w:cs="宋体"/>
          <w:sz w:val="24"/>
          <w:szCs w:val="28"/>
        </w:rPr>
        <w:br w:type="textWrapping"/>
      </w:r>
      <w:r>
        <w:rPr>
          <w:rFonts w:hint="eastAsia" w:ascii="宋体" w:hAnsi="宋体" w:eastAsia="宋体" w:cs="宋体"/>
          <w:sz w:val="24"/>
          <w:szCs w:val="28"/>
        </w:rPr>
        <w:t>2.5 所加电流准确度：±20pA，电流3e-7A至3e-3A时为0.3%，其他范围为1%</w:t>
      </w:r>
      <w:r>
        <w:rPr>
          <w:rFonts w:hint="eastAsia" w:ascii="宋体" w:hAnsi="宋体" w:eastAsia="宋体" w:cs="宋体"/>
          <w:sz w:val="24"/>
          <w:szCs w:val="28"/>
        </w:rPr>
        <w:br w:type="textWrapping"/>
      </w:r>
      <w:r>
        <w:rPr>
          <w:rFonts w:hint="eastAsia" w:ascii="宋体" w:hAnsi="宋体" w:eastAsia="宋体" w:cs="宋体"/>
          <w:sz w:val="24"/>
          <w:szCs w:val="28"/>
        </w:rPr>
        <w:t>3.电位计</w:t>
      </w:r>
      <w:r>
        <w:rPr>
          <w:rFonts w:hint="eastAsia" w:ascii="宋体" w:hAnsi="宋体" w:eastAsia="宋体" w:cs="宋体"/>
          <w:sz w:val="24"/>
          <w:szCs w:val="28"/>
        </w:rPr>
        <w:br w:type="textWrapping"/>
      </w:r>
      <w:r>
        <w:rPr>
          <w:rFonts w:hint="eastAsia" w:ascii="宋体" w:hAnsi="宋体" w:eastAsia="宋体" w:cs="宋体"/>
          <w:sz w:val="24"/>
          <w:szCs w:val="28"/>
        </w:rPr>
        <w:t>3.1 参比电极输入阻抗：1e12 欧姆</w:t>
      </w:r>
      <w:r>
        <w:rPr>
          <w:rFonts w:hint="eastAsia" w:ascii="宋体" w:hAnsi="宋体" w:eastAsia="宋体" w:cs="宋体"/>
          <w:sz w:val="24"/>
          <w:szCs w:val="28"/>
        </w:rPr>
        <w:br w:type="textWrapping"/>
      </w:r>
      <w:r>
        <w:rPr>
          <w:rFonts w:hint="eastAsia" w:ascii="宋体" w:hAnsi="宋体" w:eastAsia="宋体" w:cs="宋体"/>
          <w:sz w:val="24"/>
          <w:szCs w:val="28"/>
        </w:rPr>
        <w:t>3.2 参比电极输入带宽： 10 MHz</w:t>
      </w:r>
      <w:r>
        <w:rPr>
          <w:rFonts w:hint="eastAsia" w:ascii="宋体" w:hAnsi="宋体" w:eastAsia="宋体" w:cs="宋体"/>
          <w:sz w:val="24"/>
          <w:szCs w:val="28"/>
        </w:rPr>
        <w:br w:type="textWrapping"/>
      </w:r>
      <w:r>
        <w:rPr>
          <w:rFonts w:hint="eastAsia" w:ascii="宋体" w:hAnsi="宋体" w:eastAsia="宋体" w:cs="宋体"/>
          <w:sz w:val="24"/>
          <w:szCs w:val="28"/>
        </w:rPr>
        <w:t>3.3 参比电极输入偏置电流：&lt;= 10 pA @ 25°C</w:t>
      </w:r>
      <w:r>
        <w:rPr>
          <w:rFonts w:hint="eastAsia" w:ascii="宋体" w:hAnsi="宋体" w:eastAsia="宋体" w:cs="宋体"/>
          <w:sz w:val="24"/>
          <w:szCs w:val="28"/>
        </w:rPr>
        <w:br w:type="textWrapping"/>
      </w:r>
      <w:r>
        <w:rPr>
          <w:rFonts w:hint="eastAsia" w:ascii="宋体" w:hAnsi="宋体" w:eastAsia="宋体" w:cs="宋体"/>
          <w:sz w:val="24"/>
          <w:szCs w:val="28"/>
        </w:rPr>
        <w:t>4.波形发生和数据获得系统</w:t>
      </w:r>
      <w:r>
        <w:rPr>
          <w:rFonts w:hint="eastAsia" w:ascii="宋体" w:hAnsi="宋体" w:eastAsia="宋体" w:cs="宋体"/>
          <w:sz w:val="24"/>
          <w:szCs w:val="28"/>
        </w:rPr>
        <w:br w:type="textWrapping"/>
      </w:r>
      <w:r>
        <w:rPr>
          <w:rFonts w:hint="eastAsia" w:ascii="宋体" w:hAnsi="宋体" w:eastAsia="宋体" w:cs="宋体"/>
          <w:sz w:val="24"/>
          <w:szCs w:val="28"/>
        </w:rPr>
        <w:t>4.1 快速信号发生更新速率：10 MHz，16位分辨</w:t>
      </w:r>
      <w:r>
        <w:rPr>
          <w:rFonts w:hint="eastAsia" w:ascii="宋体" w:hAnsi="宋体" w:eastAsia="宋体" w:cs="宋体"/>
          <w:sz w:val="24"/>
          <w:szCs w:val="28"/>
        </w:rPr>
        <w:br w:type="textWrapping"/>
      </w:r>
      <w:r>
        <w:rPr>
          <w:rFonts w:hint="eastAsia" w:ascii="宋体" w:hAnsi="宋体" w:eastAsia="宋体" w:cs="宋体"/>
          <w:sz w:val="24"/>
          <w:szCs w:val="28"/>
        </w:rPr>
        <w:t>4.2 快速数据采集系统：双通道16位分辨ADC，同步采样速率2.5M赫兹</w:t>
      </w:r>
      <w:r>
        <w:rPr>
          <w:rFonts w:hint="eastAsia" w:ascii="宋体" w:hAnsi="宋体" w:eastAsia="宋体" w:cs="宋体"/>
          <w:sz w:val="24"/>
          <w:szCs w:val="28"/>
        </w:rPr>
        <w:br w:type="textWrapping"/>
      </w:r>
      <w:r>
        <w:rPr>
          <w:rFonts w:hint="eastAsia" w:ascii="宋体" w:hAnsi="宋体" w:eastAsia="宋体" w:cs="宋体"/>
          <w:sz w:val="24"/>
          <w:szCs w:val="28"/>
        </w:rPr>
        <w:t>4.3 外部信号记录通道最高采样速率2.5M Hz</w:t>
      </w:r>
      <w:r>
        <w:rPr>
          <w:rFonts w:hint="eastAsia" w:ascii="宋体" w:hAnsi="宋体" w:eastAsia="宋体" w:cs="宋体"/>
          <w:sz w:val="24"/>
          <w:szCs w:val="28"/>
        </w:rPr>
        <w:br w:type="textWrapping"/>
      </w:r>
      <w:r>
        <w:rPr>
          <w:rFonts w:hint="eastAsia" w:ascii="宋体" w:hAnsi="宋体" w:eastAsia="宋体" w:cs="宋体"/>
          <w:sz w:val="24"/>
          <w:szCs w:val="28"/>
        </w:rPr>
        <w:t>5.实验参数</w:t>
      </w:r>
      <w:r>
        <w:rPr>
          <w:rFonts w:hint="eastAsia" w:ascii="宋体" w:hAnsi="宋体" w:eastAsia="宋体" w:cs="宋体"/>
          <w:sz w:val="24"/>
          <w:szCs w:val="28"/>
        </w:rPr>
        <w:br w:type="textWrapping"/>
      </w:r>
      <w:r>
        <w:rPr>
          <w:rFonts w:hint="eastAsia" w:ascii="宋体" w:hAnsi="宋体" w:eastAsia="宋体" w:cs="宋体"/>
          <w:sz w:val="24"/>
          <w:szCs w:val="28"/>
        </w:rPr>
        <w:t>5.1 CV和LSV扫描速度: 0.000001V/s 至 10,000 V/s</w:t>
      </w:r>
      <w:r>
        <w:rPr>
          <w:rFonts w:hint="eastAsia" w:ascii="宋体" w:hAnsi="宋体" w:eastAsia="宋体" w:cs="宋体"/>
          <w:sz w:val="24"/>
          <w:szCs w:val="28"/>
        </w:rPr>
        <w:br w:type="textWrapping"/>
      </w:r>
      <w:r>
        <w:rPr>
          <w:rFonts w:hint="eastAsia" w:ascii="宋体" w:hAnsi="宋体" w:eastAsia="宋体" w:cs="宋体"/>
          <w:sz w:val="24"/>
          <w:szCs w:val="28"/>
        </w:rPr>
        <w:t>5.2 扫描时的电位增量：0.1 mV （当扫速为 1,000 V/s时）</w:t>
      </w:r>
      <w:r>
        <w:rPr>
          <w:rFonts w:hint="eastAsia" w:ascii="宋体" w:hAnsi="宋体" w:eastAsia="宋体" w:cs="宋体"/>
          <w:sz w:val="24"/>
          <w:szCs w:val="28"/>
        </w:rPr>
        <w:br w:type="textWrapping"/>
      </w:r>
      <w:r>
        <w:rPr>
          <w:rFonts w:hint="eastAsia" w:ascii="宋体" w:hAnsi="宋体" w:eastAsia="宋体" w:cs="宋体"/>
          <w:sz w:val="24"/>
          <w:szCs w:val="28"/>
        </w:rPr>
        <w:t>5.3 CA和CC的脉冲宽度： 0.0001至1000 sec</w:t>
      </w:r>
      <w:r>
        <w:rPr>
          <w:rFonts w:hint="eastAsia" w:ascii="宋体" w:hAnsi="宋体" w:eastAsia="宋体" w:cs="宋体"/>
          <w:sz w:val="24"/>
          <w:szCs w:val="28"/>
        </w:rPr>
        <w:br w:type="textWrapping"/>
      </w:r>
      <w:r>
        <w:rPr>
          <w:rFonts w:hint="eastAsia" w:ascii="宋体" w:hAnsi="宋体" w:eastAsia="宋体" w:cs="宋体"/>
          <w:sz w:val="24"/>
          <w:szCs w:val="28"/>
        </w:rPr>
        <w:t>5.4 CA和CC的最小采样间隔： 0.4µs</w:t>
      </w:r>
      <w:r>
        <w:rPr>
          <w:rFonts w:hint="eastAsia" w:ascii="宋体" w:hAnsi="宋体" w:eastAsia="宋体" w:cs="宋体"/>
          <w:sz w:val="24"/>
          <w:szCs w:val="28"/>
        </w:rPr>
        <w:br w:type="textWrapping"/>
      </w:r>
      <w:r>
        <w:rPr>
          <w:rFonts w:hint="eastAsia" w:ascii="宋体" w:hAnsi="宋体" w:eastAsia="宋体" w:cs="宋体"/>
          <w:sz w:val="24"/>
          <w:szCs w:val="28"/>
        </w:rPr>
        <w:t>5.5 CC模拟积分器</w:t>
      </w:r>
      <w:r>
        <w:rPr>
          <w:rFonts w:hint="eastAsia" w:ascii="宋体" w:hAnsi="宋体" w:eastAsia="宋体" w:cs="宋体"/>
          <w:sz w:val="24"/>
          <w:szCs w:val="28"/>
        </w:rPr>
        <w:br w:type="textWrapping"/>
      </w:r>
      <w:r>
        <w:rPr>
          <w:rFonts w:hint="eastAsia" w:ascii="宋体" w:hAnsi="宋体" w:eastAsia="宋体" w:cs="宋体"/>
          <w:sz w:val="24"/>
          <w:szCs w:val="28"/>
        </w:rPr>
        <w:t>5.6 DPV和NPV的脉冲宽度：0.001 至 10 sec</w:t>
      </w:r>
      <w:r>
        <w:rPr>
          <w:rFonts w:hint="eastAsia" w:ascii="宋体" w:hAnsi="宋体" w:eastAsia="宋体" w:cs="宋体"/>
          <w:sz w:val="24"/>
          <w:szCs w:val="28"/>
        </w:rPr>
        <w:br w:type="textWrapping"/>
      </w:r>
      <w:r>
        <w:rPr>
          <w:rFonts w:hint="eastAsia" w:ascii="宋体" w:hAnsi="宋体" w:eastAsia="宋体" w:cs="宋体"/>
          <w:sz w:val="24"/>
          <w:szCs w:val="28"/>
        </w:rPr>
        <w:t>5.7 SWV频率：1Hz 至100 kHz</w:t>
      </w:r>
      <w:r>
        <w:rPr>
          <w:rFonts w:hint="eastAsia" w:ascii="宋体" w:hAnsi="宋体" w:eastAsia="宋体" w:cs="宋体"/>
          <w:sz w:val="24"/>
          <w:szCs w:val="28"/>
        </w:rPr>
        <w:br w:type="textWrapping"/>
      </w:r>
      <w:r>
        <w:rPr>
          <w:rFonts w:hint="eastAsia" w:ascii="宋体" w:hAnsi="宋体" w:eastAsia="宋体" w:cs="宋体"/>
          <w:sz w:val="24"/>
          <w:szCs w:val="28"/>
        </w:rPr>
        <w:t>5.8 i-t的最小采样间隔：0.4µs</w:t>
      </w:r>
      <w:r>
        <w:rPr>
          <w:rFonts w:hint="eastAsia" w:ascii="宋体" w:hAnsi="宋体" w:eastAsia="宋体" w:cs="宋体"/>
          <w:sz w:val="24"/>
          <w:szCs w:val="28"/>
        </w:rPr>
        <w:br w:type="textWrapping"/>
      </w:r>
      <w:r>
        <w:rPr>
          <w:rFonts w:hint="eastAsia" w:ascii="宋体" w:hAnsi="宋体" w:eastAsia="宋体" w:cs="宋体"/>
          <w:sz w:val="24"/>
          <w:szCs w:val="28"/>
        </w:rPr>
        <w:t>5.9 SHACV频率范围：0.1Hz 至 5 kHz</w:t>
      </w:r>
      <w:r>
        <w:rPr>
          <w:rFonts w:hint="eastAsia" w:ascii="宋体" w:hAnsi="宋体" w:eastAsia="宋体" w:cs="宋体"/>
          <w:sz w:val="24"/>
          <w:szCs w:val="28"/>
        </w:rPr>
        <w:br w:type="textWrapping"/>
      </w:r>
      <w:r>
        <w:rPr>
          <w:rFonts w:hint="eastAsia" w:ascii="宋体" w:hAnsi="宋体" w:eastAsia="宋体" w:cs="宋体"/>
          <w:sz w:val="24"/>
          <w:szCs w:val="28"/>
        </w:rPr>
        <w:t>5.10 FTACV频率范围：0.1Hz 至 50Hz，可同时获取基波，二次谐波，三次谐波，四次谐波，五次谐波，六次谐波的ACV数据</w:t>
      </w:r>
      <w:r>
        <w:rPr>
          <w:rFonts w:hint="eastAsia" w:ascii="宋体" w:hAnsi="宋体" w:eastAsia="宋体" w:cs="宋体"/>
          <w:sz w:val="24"/>
          <w:szCs w:val="28"/>
        </w:rPr>
        <w:br w:type="textWrapping"/>
      </w:r>
      <w:r>
        <w:rPr>
          <w:rFonts w:hint="eastAsia" w:ascii="宋体" w:hAnsi="宋体" w:eastAsia="宋体" w:cs="宋体"/>
          <w:sz w:val="24"/>
          <w:szCs w:val="28"/>
        </w:rPr>
        <w:t>5.11 交流阻抗： 0.00001Hz 至 3MHz</w:t>
      </w:r>
      <w:r>
        <w:rPr>
          <w:rFonts w:hint="eastAsia" w:ascii="宋体" w:hAnsi="宋体" w:eastAsia="宋体" w:cs="宋体"/>
          <w:sz w:val="24"/>
          <w:szCs w:val="28"/>
        </w:rPr>
        <w:br w:type="textWrapping"/>
      </w:r>
      <w:r>
        <w:rPr>
          <w:rFonts w:hint="eastAsia" w:ascii="宋体" w:hAnsi="宋体" w:eastAsia="宋体" w:cs="宋体"/>
          <w:sz w:val="24"/>
          <w:szCs w:val="28"/>
        </w:rPr>
        <w:t>5.12 交流阻抗波形幅度： 0.00001 V 至 0.7 V 均方根值</w:t>
      </w:r>
      <w:r>
        <w:rPr>
          <w:rFonts w:hint="eastAsia" w:ascii="宋体" w:hAnsi="宋体" w:eastAsia="宋体" w:cs="宋体"/>
          <w:sz w:val="24"/>
          <w:szCs w:val="28"/>
        </w:rPr>
        <w:br w:type="textWrapping"/>
      </w:r>
      <w:r>
        <w:rPr>
          <w:rFonts w:hint="eastAsia" w:ascii="宋体" w:hAnsi="宋体" w:eastAsia="宋体" w:cs="宋体"/>
          <w:sz w:val="24"/>
          <w:szCs w:val="28"/>
        </w:rPr>
        <w:t>6.其他特点</w:t>
      </w:r>
      <w:r>
        <w:rPr>
          <w:rFonts w:hint="eastAsia" w:ascii="宋体" w:hAnsi="宋体" w:eastAsia="宋体" w:cs="宋体"/>
          <w:sz w:val="24"/>
          <w:szCs w:val="28"/>
        </w:rPr>
        <w:br w:type="textWrapping"/>
      </w:r>
      <w:r>
        <w:rPr>
          <w:rFonts w:hint="eastAsia" w:ascii="宋体" w:hAnsi="宋体" w:eastAsia="宋体" w:cs="宋体"/>
          <w:sz w:val="24"/>
          <w:szCs w:val="28"/>
        </w:rPr>
        <w:t>6.1 自动或手动iR降补偿（正反馈和电流中断法）</w:t>
      </w:r>
      <w:r>
        <w:rPr>
          <w:rFonts w:hint="eastAsia" w:ascii="宋体" w:hAnsi="宋体" w:eastAsia="宋体" w:cs="宋体"/>
          <w:sz w:val="24"/>
          <w:szCs w:val="28"/>
        </w:rPr>
        <w:br w:type="textWrapping"/>
      </w:r>
      <w:r>
        <w:rPr>
          <w:rFonts w:hint="eastAsia" w:ascii="宋体" w:hAnsi="宋体" w:eastAsia="宋体" w:cs="宋体"/>
          <w:sz w:val="24"/>
          <w:szCs w:val="28"/>
        </w:rPr>
        <w:t>6.2 电流测量偏置：满量程，16位分辨，0.003% 准确度</w:t>
      </w:r>
      <w:r>
        <w:rPr>
          <w:rFonts w:hint="eastAsia" w:ascii="宋体" w:hAnsi="宋体" w:eastAsia="宋体" w:cs="宋体"/>
          <w:sz w:val="24"/>
          <w:szCs w:val="28"/>
        </w:rPr>
        <w:br w:type="textWrapping"/>
      </w:r>
      <w:r>
        <w:rPr>
          <w:rFonts w:hint="eastAsia" w:ascii="宋体" w:hAnsi="宋体" w:eastAsia="宋体" w:cs="宋体"/>
          <w:sz w:val="24"/>
          <w:szCs w:val="28"/>
        </w:rPr>
        <w:t>6.3 电位测量偏置：±10V，16位分辨，0.003% 准确度</w:t>
      </w:r>
      <w:r>
        <w:rPr>
          <w:rFonts w:hint="eastAsia" w:ascii="宋体" w:hAnsi="宋体" w:eastAsia="宋体" w:cs="宋体"/>
          <w:sz w:val="24"/>
          <w:szCs w:val="28"/>
          <w:lang w:eastAsia="zh-CN"/>
        </w:rPr>
        <w:t>，</w:t>
      </w:r>
      <w:r>
        <w:rPr>
          <w:rFonts w:hint="eastAsia" w:ascii="宋体" w:hAnsi="宋体" w:eastAsia="宋体" w:cs="宋体"/>
          <w:sz w:val="24"/>
          <w:szCs w:val="28"/>
        </w:rPr>
        <w:t>外部电位输入</w:t>
      </w:r>
      <w:r>
        <w:rPr>
          <w:rFonts w:hint="eastAsia" w:ascii="宋体" w:hAnsi="宋体" w:eastAsia="宋体" w:cs="宋体"/>
          <w:sz w:val="24"/>
          <w:szCs w:val="28"/>
        </w:rPr>
        <w:br w:type="textWrapping"/>
      </w:r>
      <w:r>
        <w:rPr>
          <w:rFonts w:hint="eastAsia" w:ascii="宋体" w:hAnsi="宋体" w:eastAsia="宋体" w:cs="宋体"/>
          <w:sz w:val="24"/>
          <w:szCs w:val="28"/>
        </w:rPr>
        <w:t>6.4 电位和电流的模拟输出</w:t>
      </w:r>
    </w:p>
    <w:p w14:paraId="4E6E45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6.5 可控电位滤波器的截止频率： 1.5 MHz, 150 KHz, 15 KHz, 1.5 KHz, 150 Hz, 15 Hz, 1.5 Hz, 0.15 Hz</w:t>
      </w:r>
    </w:p>
    <w:p w14:paraId="517999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可控信号滤波器的截止频率： 1.5 MHz, 150 KHz, 15 KHz, 1.5 KHz, 150 Hz, 15 Hz, 1.5 Hz, 0.15 Hz</w:t>
      </w:r>
    </w:p>
    <w:p w14:paraId="52A9CE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6.6 旋转电极控制电压输出 ：0-10V 对用于 0-10000 rpm的转速，16位分辨，0.003% 准确度，需要某些旋转电极装置才能工作</w:t>
      </w:r>
    </w:p>
    <w:p w14:paraId="103BDF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6.7 通过宏命令可以控制数字输入输出线</w:t>
      </w:r>
    </w:p>
    <w:p w14:paraId="7B1B7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6.8 内闪存储器可迅速更新程序</w:t>
      </w:r>
    </w:p>
    <w:p w14:paraId="20DCE7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6.9 USB口数据通讯</w:t>
      </w:r>
    </w:p>
    <w:p w14:paraId="1C8BF8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6.10 电解池控制：通氮，搅拌，敲击（需要特殊电解池系统）</w:t>
      </w:r>
    </w:p>
    <w:p w14:paraId="35C105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6.11 CV数字模拟器和拟合器。用户定义反应机理或预定义反应机理</w:t>
      </w:r>
    </w:p>
    <w:p w14:paraId="35773A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6.12 交流阻抗模拟器和拟合器</w:t>
      </w:r>
    </w:p>
    <w:p w14:paraId="0B6A0E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r>
        <w:rPr>
          <w:rFonts w:hint="eastAsia" w:ascii="宋体" w:hAnsi="宋体" w:eastAsia="宋体" w:cs="宋体"/>
          <w:sz w:val="24"/>
          <w:szCs w:val="28"/>
        </w:rPr>
        <w:t>6.13 最大数据长度：256,000-16,384,000 点可选择</w:t>
      </w:r>
    </w:p>
    <w:p w14:paraId="38FDC84B">
      <w:pPr>
        <w:keepNext w:val="0"/>
        <w:keepLines w:val="0"/>
        <w:pageBreakBefore w:val="0"/>
        <w:widowControl w:val="0"/>
        <w:kinsoku/>
        <w:wordWrap/>
        <w:overflowPunct/>
        <w:topLinePunct w:val="0"/>
        <w:autoSpaceDE/>
        <w:autoSpaceDN/>
        <w:bidi w:val="0"/>
        <w:adjustRightInd w:val="0"/>
        <w:snapToGrid w:val="0"/>
        <w:spacing w:line="360" w:lineRule="auto"/>
        <w:ind w:left="479" w:leftChars="228" w:firstLine="0" w:firstLineChars="0"/>
        <w:jc w:val="both"/>
        <w:textAlignment w:val="auto"/>
        <w:rPr>
          <w:rFonts w:hint="eastAsia" w:ascii="宋体" w:hAnsi="宋体" w:eastAsia="宋体" w:cs="宋体"/>
          <w:sz w:val="24"/>
          <w:szCs w:val="28"/>
        </w:rPr>
      </w:pPr>
      <w:r>
        <w:rPr>
          <w:rFonts w:hint="eastAsia" w:ascii="宋体" w:hAnsi="宋体" w:eastAsia="宋体" w:cs="宋体"/>
          <w:sz w:val="24"/>
          <w:szCs w:val="28"/>
        </w:rPr>
        <w:t>7.支持功</w:t>
      </w:r>
    </w:p>
    <w:p w14:paraId="627AB8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8"/>
        </w:rPr>
      </w:pPr>
      <w:bookmarkStart w:id="39" w:name="_GoBack"/>
      <w:bookmarkEnd w:id="39"/>
      <w:r>
        <w:rPr>
          <w:rFonts w:hint="eastAsia" w:ascii="宋体" w:hAnsi="宋体" w:eastAsia="宋体" w:cs="宋体"/>
          <w:sz w:val="24"/>
          <w:szCs w:val="28"/>
        </w:rPr>
        <w:t>循环伏安法（CV）、阶梯波伏安法(SCV)、Tafe1图(TAFEL)、计时电流法(CA)、计时电量法(CC)、差分脉冲伏安法(DPV)、常规脉冲伏安法(NPV)、差分常规脉冲伏安法(DNPV)、方波伏安法(sWV)、交流(含相敏)伏安法(ACV)、二次谐波交流(相敏)伏安法(SHACV)、傅里叶变换交流伏安法(FTACV)、电流-时间曲线(i-t)、差分脉冲电流检测(DPA)、双差分脉冲电流检测(DDPA)、三脉冲电流检测(TPA)、积分脉冲电流检测(IPAD)、控制电位电解库仑法(BE)、流体力学调制伏安法(HMV)、扫描-阶跃混合方法(SSF)、多电位阶跃方法(STEP)、恒电位间歇滴定法(PITT)、交流阻抗测量(IMP)、交流阻抗-时间测量(IMPT)、交流阻抗-电位测量(IMPE)、计时电位法(CP)、电流扫描计时电位法(CPCR)、多电流阶跃法(ISTEP)、恒电流间歇滴定法(GITT)、电位溶出分析(PSA)、电化学噪声测量(ECN)、开路电压-时间曲线（OCPT）、恒电流仪、RDE控制（0-10V输出）、任意反应机理CV模拟器、交流阻抗数字模拟器和拟合程序。</w:t>
      </w:r>
    </w:p>
    <w:p w14:paraId="6BBA3A4E">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②、仪器配置</w:t>
      </w:r>
    </w:p>
    <w:p w14:paraId="5DE00638">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1.电化学工作站1台（含电极线、 USB通讯线、电源线）</w:t>
      </w:r>
    </w:p>
    <w:bookmarkEnd w:id="20"/>
    <w:bookmarkEnd w:id="21"/>
    <w:p w14:paraId="426D9E3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1A3C098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28749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3E3768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00A8411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3C6E287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7796305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6FB340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1C57A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6B5B31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2、成交供应商负责设备包装、办理运输和保险，将设备安全运抵交货地点。</w:t>
      </w:r>
    </w:p>
    <w:p w14:paraId="620189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3、设备制造完成并通过试验后应及时包装，否则应得到切实的保护，确保其不受污损。</w:t>
      </w:r>
    </w:p>
    <w:p w14:paraId="317920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4、在包装箱外应标明采购人的订货号、发货号。</w:t>
      </w:r>
    </w:p>
    <w:p w14:paraId="1B01C36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5、各种包装应能确保各零部件在运输过程中不致遭到损坏、丢失、变形、受潮和腐蚀。</w:t>
      </w:r>
    </w:p>
    <w:p w14:paraId="534595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6、包装箱上应有明显的包装储运图示标志。</w:t>
      </w:r>
    </w:p>
    <w:p w14:paraId="333E46D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7、整体产品或分别运输的部件都要适应运输和装载的要求。</w:t>
      </w:r>
    </w:p>
    <w:p w14:paraId="70F95DE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8、随产品提供的技术资料应完整无缺。</w:t>
      </w:r>
    </w:p>
    <w:p w14:paraId="441F9D53">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84447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47D0746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000B18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0BC86F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6C8315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4、免费质保期：自验收合格之日起1年。</w:t>
      </w:r>
    </w:p>
    <w:p w14:paraId="5601CE9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5DD003A8">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2"/>
        <w:keepLines/>
        <w:ind w:left="720" w:hanging="720"/>
        <w:rPr>
          <w:rFonts w:hint="eastAsia" w:ascii="宋体" w:hAnsi="宋体" w:eastAsia="宋体" w:cs="宋体"/>
          <w:color w:val="000000"/>
          <w:sz w:val="32"/>
        </w:rPr>
      </w:pPr>
    </w:p>
    <w:p w14:paraId="4DC05E68">
      <w:pPr>
        <w:rPr>
          <w:rFonts w:hint="eastAsia" w:ascii="宋体" w:hAnsi="宋体" w:eastAsia="宋体" w:cs="宋体"/>
          <w:color w:val="000000"/>
          <w:sz w:val="32"/>
        </w:rPr>
      </w:pPr>
      <w:r>
        <w:rPr>
          <w:rFonts w:ascii="宋体" w:hAnsi="宋体" w:eastAsia="宋体" w:cs="宋体"/>
          <w:color w:val="000000"/>
          <w:sz w:val="32"/>
        </w:rPr>
        <w:br w:type="page"/>
      </w:r>
    </w:p>
    <w:p w14:paraId="6490A243">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0115E54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286355B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463C0B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511185B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2540AA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1B7E9A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1FFC1B0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2373667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3F60854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28E8FDD9">
      <w:pPr>
        <w:keepLines/>
        <w:ind w:left="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br w:type="page"/>
      </w:r>
    </w:p>
    <w:p w14:paraId="128D071A">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6F15A8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0134246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57DD0B6B">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02D5CB4F">
      <w:pPr>
        <w:rPr>
          <w:rFonts w:hint="eastAsia"/>
        </w:rPr>
      </w:pPr>
      <w:bookmarkStart w:id="24" w:name="_Toc363199269"/>
    </w:p>
    <w:p w14:paraId="2FFF1368">
      <w:pPr>
        <w:pStyle w:val="2"/>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76F236F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2035B0C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2898D88F">
      <w:pPr>
        <w:spacing w:line="500" w:lineRule="exact"/>
        <w:jc w:val="center"/>
        <w:rPr>
          <w:rFonts w:hint="eastAsia" w:ascii="宋体" w:hAnsi="宋体" w:eastAsia="宋体" w:cs="宋体"/>
          <w:b/>
          <w:color w:val="000000"/>
          <w:sz w:val="32"/>
        </w:rPr>
      </w:pPr>
    </w:p>
    <w:p w14:paraId="00954689">
      <w:pPr>
        <w:spacing w:line="900" w:lineRule="exact"/>
        <w:jc w:val="center"/>
        <w:rPr>
          <w:rFonts w:hint="eastAsia" w:ascii="宋体" w:hAnsi="宋体" w:eastAsia="宋体" w:cs="宋体"/>
          <w:b/>
          <w:sz w:val="28"/>
          <w:szCs w:val="6"/>
          <w:lang w:eastAsia="zh-CN"/>
        </w:rPr>
      </w:pPr>
      <w:r>
        <w:rPr>
          <w:rFonts w:hint="eastAsia" w:ascii="宋体" w:hAnsi="宋体" w:eastAsia="宋体" w:cs="宋体"/>
          <w:b/>
          <w:sz w:val="28"/>
          <w:szCs w:val="6"/>
        </w:rPr>
        <w:t>项目名称：</w:t>
      </w:r>
      <w:r>
        <w:rPr>
          <w:rFonts w:hint="eastAsia" w:ascii="宋体" w:hAnsi="宋体" w:eastAsia="宋体" w:cs="宋体"/>
          <w:b/>
          <w:sz w:val="28"/>
          <w:szCs w:val="6"/>
          <w:lang w:eastAsia="zh-CN"/>
        </w:rPr>
        <w:t>电化学工作站采购</w:t>
      </w:r>
    </w:p>
    <w:p w14:paraId="1C486EFD">
      <w:pPr>
        <w:spacing w:line="900" w:lineRule="exact"/>
        <w:jc w:val="center"/>
        <w:rPr>
          <w:rFonts w:hint="eastAsia" w:ascii="宋体" w:hAnsi="宋体" w:eastAsia="宋体" w:cs="宋体"/>
          <w:b/>
          <w:color w:val="000000"/>
          <w:sz w:val="28"/>
          <w:szCs w:val="6"/>
        </w:rPr>
      </w:pPr>
    </w:p>
    <w:p w14:paraId="1C3FBAC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391D113D">
      <w:pPr>
        <w:spacing w:line="900" w:lineRule="exact"/>
        <w:jc w:val="center"/>
        <w:rPr>
          <w:rFonts w:hint="eastAsia" w:ascii="宋体" w:hAnsi="宋体" w:eastAsia="宋体" w:cs="宋体"/>
          <w:b/>
          <w:color w:val="000000"/>
          <w:sz w:val="72"/>
        </w:rPr>
      </w:pPr>
    </w:p>
    <w:p w14:paraId="4CE4455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280486DB">
      <w:pPr>
        <w:spacing w:line="900" w:lineRule="exact"/>
        <w:jc w:val="center"/>
        <w:rPr>
          <w:rFonts w:hint="eastAsia" w:ascii="宋体" w:hAnsi="宋体" w:eastAsia="宋体" w:cs="宋体"/>
          <w:b/>
          <w:color w:val="000000"/>
          <w:sz w:val="72"/>
        </w:rPr>
      </w:pPr>
    </w:p>
    <w:p w14:paraId="034DAB73">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062644D9">
      <w:pPr>
        <w:spacing w:line="900" w:lineRule="exact"/>
        <w:jc w:val="center"/>
        <w:rPr>
          <w:rFonts w:hint="eastAsia" w:ascii="宋体" w:hAnsi="宋体" w:eastAsia="宋体" w:cs="宋体"/>
          <w:b/>
          <w:color w:val="000000"/>
          <w:sz w:val="72"/>
        </w:rPr>
      </w:pPr>
    </w:p>
    <w:p w14:paraId="3BC9DADE">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1F99B16E">
      <w:pPr>
        <w:spacing w:after="156" w:afterLines="50"/>
        <w:jc w:val="center"/>
        <w:rPr>
          <w:rFonts w:hint="eastAsia" w:ascii="宋体" w:hAnsi="宋体" w:eastAsia="宋体" w:cs="宋体"/>
          <w:b/>
          <w:color w:val="000000"/>
          <w:sz w:val="72"/>
        </w:rPr>
      </w:pPr>
    </w:p>
    <w:p w14:paraId="3C47B83D">
      <w:pPr>
        <w:spacing w:after="156" w:afterLines="50" w:line="500" w:lineRule="exact"/>
        <w:jc w:val="center"/>
        <w:rPr>
          <w:rFonts w:hint="eastAsia" w:ascii="宋体" w:hAnsi="宋体" w:eastAsia="宋体" w:cs="宋体"/>
          <w:b/>
          <w:color w:val="000000"/>
          <w:sz w:val="72"/>
        </w:rPr>
      </w:pPr>
    </w:p>
    <w:p w14:paraId="51E9C204">
      <w:pPr>
        <w:spacing w:after="156" w:afterLines="50" w:line="500" w:lineRule="exact"/>
        <w:jc w:val="center"/>
        <w:rPr>
          <w:rFonts w:hint="eastAsia" w:ascii="宋体" w:hAnsi="宋体" w:eastAsia="宋体" w:cs="宋体"/>
          <w:b/>
          <w:color w:val="000000"/>
          <w:sz w:val="72"/>
        </w:rPr>
      </w:pPr>
    </w:p>
    <w:p w14:paraId="58AC8F8F">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79C19B98">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06FB6BFF">
      <w:pPr>
        <w:spacing w:line="360" w:lineRule="auto"/>
        <w:rPr>
          <w:rFonts w:hint="eastAsia" w:ascii="宋体" w:hAnsi="宋体" w:eastAsia="宋体" w:cs="宋体"/>
          <w:color w:val="000000"/>
          <w:sz w:val="24"/>
          <w:szCs w:val="28"/>
        </w:rPr>
      </w:pPr>
    </w:p>
    <w:p w14:paraId="1E7E0455">
      <w:pPr>
        <w:spacing w:line="360" w:lineRule="auto"/>
        <w:rPr>
          <w:rFonts w:hint="eastAsia" w:ascii="宋体" w:hAnsi="宋体" w:eastAsia="宋体" w:cs="宋体"/>
          <w:color w:val="000000"/>
          <w:sz w:val="24"/>
          <w:szCs w:val="28"/>
        </w:rPr>
      </w:pPr>
    </w:p>
    <w:p w14:paraId="1865ABFA">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4DD0FB87">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4D1EB228">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6755CAC0">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6DF38E00">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0C9CB71">
            <w:pPr>
              <w:spacing w:line="360" w:lineRule="auto"/>
              <w:jc w:val="center"/>
              <w:rPr>
                <w:rFonts w:hint="eastAsia" w:ascii="宋体" w:hAnsi="宋体" w:eastAsia="宋体" w:cs="宋体"/>
                <w:b/>
                <w:color w:val="000000"/>
                <w:sz w:val="24"/>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1FC80E">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00F1936">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0458CAD8">
            <w:pPr>
              <w:spacing w:line="360" w:lineRule="auto"/>
              <w:jc w:val="center"/>
              <w:rPr>
                <w:rFonts w:hint="eastAsia" w:ascii="宋体" w:hAnsi="宋体" w:eastAsia="宋体" w:cs="宋体"/>
                <w:b/>
                <w:color w:val="000000"/>
                <w:sz w:val="24"/>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469B755B">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F0BF83">
            <w:pPr>
              <w:spacing w:line="360" w:lineRule="auto"/>
              <w:jc w:val="center"/>
              <w:rPr>
                <w:rFonts w:hint="eastAsia" w:ascii="宋体" w:hAnsi="宋体" w:eastAsia="宋体" w:cs="宋体"/>
                <w:b/>
                <w:color w:val="000000"/>
                <w:sz w:val="24"/>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rPr>
            </w:pPr>
          </w:p>
        </w:tc>
        <w:tc>
          <w:tcPr>
            <w:tcW w:w="5460" w:type="dxa"/>
            <w:vAlign w:val="center"/>
          </w:tcPr>
          <w:p w14:paraId="5EDA7D66">
            <w:pPr>
              <w:rPr>
                <w:rFonts w:hint="eastAsia" w:ascii="宋体" w:hAnsi="宋体" w:eastAsia="宋体" w:cs="宋体"/>
                <w:color w:val="000000"/>
                <w:sz w:val="24"/>
              </w:rPr>
            </w:pPr>
          </w:p>
        </w:tc>
        <w:tc>
          <w:tcPr>
            <w:tcW w:w="2625" w:type="dxa"/>
            <w:vAlign w:val="center"/>
          </w:tcPr>
          <w:p w14:paraId="4146406C">
            <w:pPr>
              <w:spacing w:line="360" w:lineRule="auto"/>
              <w:rPr>
                <w:rFonts w:hint="eastAsia" w:ascii="宋体" w:hAnsi="宋体" w:eastAsia="宋体" w:cs="宋体"/>
                <w:b/>
                <w:color w:val="000000"/>
                <w:sz w:val="24"/>
              </w:rPr>
            </w:pPr>
          </w:p>
        </w:tc>
      </w:tr>
    </w:tbl>
    <w:p w14:paraId="18DC6BD5">
      <w:pPr>
        <w:spacing w:line="360" w:lineRule="auto"/>
        <w:jc w:val="center"/>
        <w:rPr>
          <w:rFonts w:hint="eastAsia" w:ascii="宋体" w:hAnsi="宋体" w:eastAsia="宋体" w:cs="宋体"/>
          <w:b/>
          <w:color w:val="000000"/>
          <w:sz w:val="24"/>
        </w:rPr>
      </w:pPr>
    </w:p>
    <w:p w14:paraId="0FF9BA92">
      <w:pPr>
        <w:spacing w:line="360" w:lineRule="auto"/>
        <w:jc w:val="center"/>
        <w:rPr>
          <w:rFonts w:hint="eastAsia" w:ascii="宋体" w:hAnsi="宋体" w:eastAsia="宋体" w:cs="宋体"/>
          <w:b/>
          <w:color w:val="000000"/>
          <w:sz w:val="24"/>
        </w:rPr>
      </w:pPr>
    </w:p>
    <w:p w14:paraId="52FCA5D7">
      <w:pPr>
        <w:spacing w:line="360" w:lineRule="auto"/>
        <w:jc w:val="center"/>
        <w:rPr>
          <w:rFonts w:hint="eastAsia" w:ascii="宋体" w:hAnsi="宋体" w:eastAsia="宋体" w:cs="宋体"/>
          <w:b/>
          <w:color w:val="000000"/>
          <w:sz w:val="24"/>
        </w:rPr>
      </w:pPr>
    </w:p>
    <w:p w14:paraId="1A44CBDF">
      <w:pPr>
        <w:spacing w:line="360" w:lineRule="auto"/>
        <w:jc w:val="center"/>
        <w:rPr>
          <w:rFonts w:hint="eastAsia" w:ascii="宋体" w:hAnsi="宋体" w:eastAsia="宋体" w:cs="宋体"/>
          <w:b/>
          <w:color w:val="000000"/>
          <w:sz w:val="24"/>
        </w:rPr>
      </w:pPr>
    </w:p>
    <w:p w14:paraId="41464A12">
      <w:pPr>
        <w:spacing w:line="360" w:lineRule="auto"/>
        <w:jc w:val="center"/>
        <w:rPr>
          <w:rFonts w:hint="eastAsia" w:ascii="宋体" w:hAnsi="宋体" w:eastAsia="宋体" w:cs="宋体"/>
          <w:b/>
          <w:color w:val="000000"/>
          <w:sz w:val="24"/>
        </w:rPr>
      </w:pPr>
    </w:p>
    <w:p w14:paraId="6FD67542">
      <w:pPr>
        <w:spacing w:line="360" w:lineRule="auto"/>
        <w:jc w:val="center"/>
        <w:rPr>
          <w:rFonts w:hint="eastAsia" w:ascii="宋体" w:hAnsi="宋体" w:eastAsia="宋体" w:cs="宋体"/>
          <w:b/>
          <w:color w:val="000000"/>
          <w:sz w:val="24"/>
        </w:rPr>
      </w:pPr>
    </w:p>
    <w:p w14:paraId="16EE6195">
      <w:pPr>
        <w:spacing w:line="360" w:lineRule="auto"/>
        <w:jc w:val="center"/>
        <w:rPr>
          <w:rFonts w:hint="eastAsia" w:ascii="宋体" w:hAnsi="宋体" w:eastAsia="宋体" w:cs="宋体"/>
          <w:b/>
          <w:color w:val="000000"/>
          <w:sz w:val="24"/>
        </w:rPr>
      </w:pPr>
    </w:p>
    <w:p w14:paraId="39ACD655">
      <w:pPr>
        <w:spacing w:line="360" w:lineRule="auto"/>
        <w:jc w:val="center"/>
        <w:rPr>
          <w:rFonts w:hint="eastAsia" w:ascii="宋体" w:hAnsi="宋体" w:eastAsia="宋体" w:cs="宋体"/>
          <w:b/>
          <w:color w:val="000000"/>
          <w:sz w:val="24"/>
        </w:rPr>
      </w:pPr>
    </w:p>
    <w:p w14:paraId="31420B5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02C0F08">
      <w:pPr>
        <w:pStyle w:val="4"/>
        <w:rPr>
          <w:rFonts w:hint="eastAsia" w:ascii="宋体" w:hAnsi="宋体" w:eastAsia="宋体" w:cs="宋体"/>
          <w:color w:val="000000"/>
          <w:sz w:val="24"/>
          <w:szCs w:val="24"/>
        </w:rPr>
      </w:pPr>
      <w:bookmarkStart w:id="28" w:name="_Toc5390"/>
      <w:bookmarkStart w:id="29" w:name="_Toc4938"/>
      <w:r>
        <w:rPr>
          <w:rFonts w:hint="eastAsia" w:ascii="宋体" w:hAnsi="宋体" w:eastAsia="宋体" w:cs="宋体"/>
          <w:color w:val="000000"/>
          <w:sz w:val="24"/>
          <w:szCs w:val="24"/>
        </w:rPr>
        <w:t>附件一</w:t>
      </w:r>
      <w:bookmarkEnd w:id="28"/>
      <w:bookmarkEnd w:id="29"/>
    </w:p>
    <w:p w14:paraId="0C8C816B">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6B9C14ED">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rPr>
            </w:pPr>
          </w:p>
        </w:tc>
      </w:tr>
    </w:tbl>
    <w:p w14:paraId="01279A09">
      <w:pPr>
        <w:spacing w:line="500" w:lineRule="exact"/>
        <w:jc w:val="center"/>
        <w:rPr>
          <w:rFonts w:hint="eastAsia" w:ascii="宋体" w:hAnsi="宋体" w:eastAsia="宋体" w:cs="宋体"/>
          <w:color w:val="000000"/>
          <w:sz w:val="24"/>
        </w:rPr>
      </w:pPr>
    </w:p>
    <w:p w14:paraId="5441EAD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126499D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873861B">
      <w:pPr>
        <w:spacing w:line="500" w:lineRule="exact"/>
        <w:jc w:val="center"/>
        <w:rPr>
          <w:rFonts w:hint="eastAsia" w:ascii="宋体" w:hAnsi="宋体" w:eastAsia="宋体" w:cs="宋体"/>
          <w:color w:val="000000"/>
          <w:sz w:val="24"/>
        </w:rPr>
      </w:pPr>
    </w:p>
    <w:p w14:paraId="3476D6C1">
      <w:pPr>
        <w:spacing w:line="500" w:lineRule="exact"/>
        <w:jc w:val="center"/>
        <w:rPr>
          <w:rFonts w:hint="eastAsia" w:ascii="宋体" w:hAnsi="宋体" w:eastAsia="宋体" w:cs="宋体"/>
          <w:color w:val="000000"/>
          <w:sz w:val="24"/>
        </w:rPr>
      </w:pPr>
    </w:p>
    <w:p w14:paraId="0C5898B4">
      <w:pPr>
        <w:spacing w:line="500" w:lineRule="exact"/>
        <w:jc w:val="center"/>
        <w:rPr>
          <w:rFonts w:hint="eastAsia" w:ascii="宋体" w:hAnsi="宋体" w:eastAsia="宋体" w:cs="宋体"/>
          <w:color w:val="000000"/>
          <w:sz w:val="24"/>
        </w:rPr>
      </w:pPr>
    </w:p>
    <w:p w14:paraId="15DEBA70">
      <w:pPr>
        <w:spacing w:line="500" w:lineRule="exact"/>
        <w:jc w:val="center"/>
        <w:rPr>
          <w:rFonts w:hint="eastAsia" w:ascii="宋体" w:hAnsi="宋体" w:eastAsia="宋体" w:cs="宋体"/>
          <w:color w:val="000000"/>
          <w:sz w:val="24"/>
        </w:rPr>
      </w:pPr>
    </w:p>
    <w:p w14:paraId="7A568B3C">
      <w:pPr>
        <w:pStyle w:val="4"/>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41823358">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295A342">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根据贵方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color w:val="000000"/>
          <w:sz w:val="24"/>
          <w:szCs w:val="24"/>
        </w:rPr>
        <w:t>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7A83C4D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2E6823A7">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3CFADDE8">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3AF0D584">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2C6D1EF2">
      <w:pPr>
        <w:jc w:val="center"/>
        <w:rPr>
          <w:rFonts w:hint="eastAsia" w:ascii="宋体" w:hAnsi="宋体" w:eastAsia="宋体" w:cs="宋体"/>
          <w:b/>
          <w:color w:val="000000"/>
          <w:sz w:val="24"/>
          <w:szCs w:val="24"/>
        </w:rPr>
      </w:pPr>
    </w:p>
    <w:p w14:paraId="6C49463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47C7F7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3"/>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FF0000"/>
                <w:sz w:val="24"/>
                <w:szCs w:val="24"/>
              </w:rPr>
            </w:pPr>
            <w:r>
              <w:rPr>
                <w:rFonts w:hint="eastAsia" w:ascii="宋体" w:hAnsi="宋体" w:eastAsia="宋体" w:cs="宋体"/>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FF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jc w:val="center"/>
              <w:rPr>
                <w:rFonts w:hint="eastAsia" w:ascii="宋体" w:hAnsi="宋体" w:eastAsia="宋体" w:cs="宋体"/>
                <w:color w:val="FF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jc w:val="center"/>
              <w:rPr>
                <w:rFonts w:hint="eastAsia" w:ascii="宋体" w:hAnsi="宋体" w:eastAsia="宋体" w:cs="宋体"/>
                <w:color w:val="FF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FF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rPr>
            </w:pPr>
          </w:p>
        </w:tc>
      </w:tr>
      <w:tr w14:paraId="4CEF1F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2D184B4">
            <w:pPr>
              <w:spacing w:line="360" w:lineRule="auto"/>
              <w:jc w:val="center"/>
              <w:rPr>
                <w:rFonts w:hint="eastAsia" w:ascii="宋体" w:hAnsi="宋体" w:eastAsia="宋体" w:cs="宋体"/>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6F6720D2">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569E3896">
            <w:pPr>
              <w:spacing w:line="360" w:lineRule="auto"/>
              <w:jc w:val="center"/>
              <w:rPr>
                <w:rFonts w:hint="eastAsia" w:ascii="宋体" w:hAnsi="宋体" w:eastAsia="宋体" w:cs="宋体"/>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0E13B799">
            <w:pPr>
              <w:spacing w:line="360" w:lineRule="auto"/>
              <w:jc w:val="center"/>
              <w:rPr>
                <w:rFonts w:hint="eastAsia" w:ascii="宋体" w:hAnsi="宋体" w:eastAsia="宋体" w:cs="宋体"/>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6B03532B">
            <w:pPr>
              <w:spacing w:line="360" w:lineRule="auto"/>
              <w:ind w:firstLine="480" w:firstLineChars="200"/>
              <w:jc w:val="center"/>
              <w:rPr>
                <w:rFonts w:hint="eastAsia"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7FAA0949">
            <w:pPr>
              <w:spacing w:line="360" w:lineRule="auto"/>
              <w:ind w:firstLine="480" w:firstLineChars="200"/>
              <w:jc w:val="center"/>
              <w:rPr>
                <w:rFonts w:hint="eastAsia" w:ascii="宋体" w:hAnsi="宋体" w:eastAsia="宋体" w:cs="宋体"/>
                <w:color w:val="000000"/>
                <w:sz w:val="24"/>
                <w:szCs w:val="24"/>
              </w:rPr>
            </w:pPr>
          </w:p>
        </w:tc>
      </w:tr>
      <w:tr w14:paraId="3632539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DED60C3">
            <w:pPr>
              <w:spacing w:line="360" w:lineRule="auto"/>
              <w:jc w:val="center"/>
              <w:rPr>
                <w:rFonts w:hint="eastAsia" w:ascii="宋体" w:hAnsi="宋体" w:eastAsia="宋体" w:cs="宋体"/>
                <w:color w:val="000000"/>
                <w:sz w:val="24"/>
                <w:szCs w:val="24"/>
              </w:rPr>
            </w:pPr>
          </w:p>
        </w:tc>
        <w:tc>
          <w:tcPr>
            <w:tcW w:w="3960" w:type="dxa"/>
            <w:tcBorders>
              <w:top w:val="nil"/>
              <w:left w:val="nil"/>
              <w:bottom w:val="single" w:color="auto" w:sz="4" w:space="0"/>
              <w:right w:val="single" w:color="auto" w:sz="4" w:space="0"/>
            </w:tcBorders>
            <w:shd w:val="clear" w:color="auto" w:fill="FFFFFF"/>
            <w:vAlign w:val="center"/>
          </w:tcPr>
          <w:p w14:paraId="0BFCADAD">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5B94772E">
            <w:pPr>
              <w:spacing w:line="360" w:lineRule="auto"/>
              <w:jc w:val="center"/>
              <w:rPr>
                <w:rFonts w:hint="eastAsia" w:ascii="宋体" w:hAnsi="宋体" w:eastAsia="宋体" w:cs="宋体"/>
                <w:color w:val="000000"/>
                <w:sz w:val="24"/>
                <w:szCs w:val="24"/>
              </w:rPr>
            </w:pPr>
          </w:p>
        </w:tc>
        <w:tc>
          <w:tcPr>
            <w:tcW w:w="845" w:type="dxa"/>
            <w:tcBorders>
              <w:top w:val="nil"/>
              <w:left w:val="nil"/>
              <w:bottom w:val="single" w:color="auto" w:sz="4" w:space="0"/>
              <w:right w:val="single" w:color="auto" w:sz="4" w:space="0"/>
            </w:tcBorders>
            <w:shd w:val="clear" w:color="auto" w:fill="FFFFFF"/>
            <w:vAlign w:val="center"/>
          </w:tcPr>
          <w:p w14:paraId="5B10FA16">
            <w:pPr>
              <w:spacing w:line="360" w:lineRule="auto"/>
              <w:jc w:val="center"/>
              <w:rPr>
                <w:rFonts w:hint="eastAsia" w:ascii="宋体" w:hAnsi="宋体" w:eastAsia="宋体" w:cs="宋体"/>
                <w:color w:val="000000"/>
                <w:sz w:val="24"/>
                <w:szCs w:val="24"/>
              </w:rPr>
            </w:pPr>
          </w:p>
        </w:tc>
        <w:tc>
          <w:tcPr>
            <w:tcW w:w="1560" w:type="dxa"/>
            <w:tcBorders>
              <w:top w:val="nil"/>
              <w:left w:val="nil"/>
              <w:bottom w:val="single" w:color="auto" w:sz="4" w:space="0"/>
              <w:right w:val="single" w:color="auto" w:sz="4" w:space="0"/>
            </w:tcBorders>
            <w:shd w:val="clear" w:color="auto" w:fill="FFFFFF"/>
            <w:vAlign w:val="center"/>
          </w:tcPr>
          <w:p w14:paraId="5A21CD96">
            <w:pPr>
              <w:spacing w:line="360" w:lineRule="auto"/>
              <w:ind w:firstLine="480" w:firstLineChars="200"/>
              <w:jc w:val="center"/>
              <w:rPr>
                <w:rFonts w:hint="eastAsia" w:ascii="宋体" w:hAnsi="宋体" w:eastAsia="宋体" w:cs="宋体"/>
                <w:color w:val="000000"/>
                <w:sz w:val="24"/>
                <w:szCs w:val="24"/>
              </w:rPr>
            </w:pPr>
          </w:p>
        </w:tc>
        <w:tc>
          <w:tcPr>
            <w:tcW w:w="1399" w:type="dxa"/>
            <w:tcBorders>
              <w:top w:val="nil"/>
              <w:left w:val="nil"/>
              <w:bottom w:val="single" w:color="auto" w:sz="4" w:space="0"/>
              <w:right w:val="single" w:color="auto" w:sz="4" w:space="0"/>
            </w:tcBorders>
            <w:shd w:val="clear" w:color="auto" w:fill="FFFFFF"/>
            <w:vAlign w:val="center"/>
          </w:tcPr>
          <w:p w14:paraId="682C2E3C">
            <w:pPr>
              <w:spacing w:line="360" w:lineRule="auto"/>
              <w:ind w:firstLine="480" w:firstLineChars="200"/>
              <w:jc w:val="center"/>
              <w:rPr>
                <w:rFonts w:hint="eastAsia" w:ascii="宋体" w:hAnsi="宋体" w:eastAsia="宋体" w:cs="宋体"/>
                <w:color w:val="000000"/>
                <w:sz w:val="24"/>
                <w:szCs w:val="24"/>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eastAsia" w:ascii="宋体" w:hAnsi="宋体" w:eastAsia="宋体" w:cs="宋体"/>
                <w:color w:val="000000"/>
                <w:sz w:val="24"/>
                <w:szCs w:val="24"/>
              </w:rPr>
            </w:pPr>
          </w:p>
        </w:tc>
      </w:tr>
    </w:tbl>
    <w:p w14:paraId="27E1D21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61D28A3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rPr>
      </w:pPr>
    </w:p>
    <w:p w14:paraId="161AD945">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1CD266C">
      <w:pPr>
        <w:pStyle w:val="4"/>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1907655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762"/>
      <w:bookmarkStart w:id="37" w:name="_Toc72431438"/>
      <w:r>
        <w:rPr>
          <w:rFonts w:hint="eastAsia" w:ascii="仿宋" w:hAnsi="仿宋" w:eastAsia="仿宋" w:cs="仿宋"/>
          <w:b/>
          <w:sz w:val="32"/>
          <w:szCs w:val="32"/>
        </w:rPr>
        <w:t>书面承诺函</w:t>
      </w:r>
      <w:bookmarkEnd w:id="36"/>
      <w:bookmarkEnd w:id="37"/>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3B8831F">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28B34A4">
      <w:pPr>
        <w:pStyle w:val="4"/>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01A524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48D7870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7C02D62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3466C4AD">
      <w:pPr>
        <w:spacing w:line="360" w:lineRule="auto"/>
        <w:rPr>
          <w:rFonts w:hint="eastAsia" w:ascii="宋体" w:hAnsi="宋体" w:eastAsia="宋体" w:cs="宋体"/>
          <w:color w:val="000000"/>
          <w:sz w:val="24"/>
          <w:szCs w:val="24"/>
        </w:rPr>
      </w:pPr>
    </w:p>
    <w:p w14:paraId="23C0A5A1">
      <w:pPr>
        <w:rPr>
          <w:rFonts w:hint="eastAsia" w:ascii="宋体" w:hAnsi="宋体" w:eastAsia="宋体" w:cs="宋体"/>
          <w:color w:val="000000"/>
        </w:rPr>
      </w:pPr>
    </w:p>
    <w:p w14:paraId="20DEC647">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9</w:t>
    </w:r>
    <w:r>
      <w:fldChar w:fldCharType="end"/>
    </w:r>
  </w:p>
  <w:p w14:paraId="5DEEDD9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0"/>
      <w:framePr w:wrap="around" w:vAnchor="text" w:hAnchor="margin" w:xAlign="center" w:y="1"/>
      <w:rPr>
        <w:rStyle w:val="37"/>
        <w:rFonts w:hint="eastAsia"/>
      </w:rPr>
    </w:pPr>
    <w:r>
      <w:fldChar w:fldCharType="begin"/>
    </w:r>
    <w:r>
      <w:rPr>
        <w:rStyle w:val="37"/>
      </w:rPr>
      <w:instrText xml:space="preserve">PAGE  </w:instrText>
    </w:r>
    <w:r>
      <w:rPr>
        <w:rFonts w:hint="eastAsia"/>
      </w:rPr>
      <w:fldChar w:fldCharType="separate"/>
    </w:r>
    <w:r>
      <w:fldChar w:fldCharType="end"/>
    </w:r>
  </w:p>
  <w:p w14:paraId="68AEE8E3">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1"/>
      <w:framePr w:wrap="around" w:vAnchor="text" w:hAnchor="margin" w:xAlign="right" w:y="1"/>
      <w:rPr>
        <w:rStyle w:val="37"/>
        <w:rFonts w:hint="eastAsia"/>
      </w:rPr>
    </w:pPr>
    <w:r>
      <w:fldChar w:fldCharType="begin"/>
    </w:r>
    <w:r>
      <w:rPr>
        <w:rStyle w:val="37"/>
      </w:rPr>
      <w:instrText xml:space="preserve">PAGE  </w:instrText>
    </w:r>
    <w:r>
      <w:rPr>
        <w:rFonts w:hint="eastAsia"/>
      </w:rPr>
      <w:fldChar w:fldCharType="separate"/>
    </w:r>
    <w:r>
      <w:fldChar w:fldCharType="end"/>
    </w:r>
  </w:p>
  <w:p w14:paraId="67B2401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15D4"/>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579C"/>
    <w:rsid w:val="00096E65"/>
    <w:rsid w:val="000974F8"/>
    <w:rsid w:val="000B4002"/>
    <w:rsid w:val="000D6B7E"/>
    <w:rsid w:val="000D76B6"/>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A6CC0"/>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D7920"/>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67290"/>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420E"/>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52AA"/>
    <w:rsid w:val="006272E7"/>
    <w:rsid w:val="00631907"/>
    <w:rsid w:val="00632553"/>
    <w:rsid w:val="00634A0B"/>
    <w:rsid w:val="00640787"/>
    <w:rsid w:val="0064765E"/>
    <w:rsid w:val="00650DEE"/>
    <w:rsid w:val="00657E5B"/>
    <w:rsid w:val="0066381C"/>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457A"/>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311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D70CC"/>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5C23"/>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8067FB"/>
    <w:rsid w:val="01D34B7C"/>
    <w:rsid w:val="01FA47FF"/>
    <w:rsid w:val="02200013"/>
    <w:rsid w:val="02D23086"/>
    <w:rsid w:val="030D0F8F"/>
    <w:rsid w:val="03195159"/>
    <w:rsid w:val="03767DB2"/>
    <w:rsid w:val="03D51A5C"/>
    <w:rsid w:val="040C3F64"/>
    <w:rsid w:val="047D4A26"/>
    <w:rsid w:val="04DB75B6"/>
    <w:rsid w:val="06364605"/>
    <w:rsid w:val="063A68D9"/>
    <w:rsid w:val="06860B2E"/>
    <w:rsid w:val="06D32F96"/>
    <w:rsid w:val="076B52A9"/>
    <w:rsid w:val="081D6C81"/>
    <w:rsid w:val="08475BFA"/>
    <w:rsid w:val="08E1238F"/>
    <w:rsid w:val="09721FE0"/>
    <w:rsid w:val="09C94AB7"/>
    <w:rsid w:val="0A6F0EAA"/>
    <w:rsid w:val="0A947DE6"/>
    <w:rsid w:val="0AB1459F"/>
    <w:rsid w:val="0BA81D66"/>
    <w:rsid w:val="0C0629C4"/>
    <w:rsid w:val="0C08464D"/>
    <w:rsid w:val="0C196610"/>
    <w:rsid w:val="0C1C7E18"/>
    <w:rsid w:val="0C480CD6"/>
    <w:rsid w:val="0C674BBA"/>
    <w:rsid w:val="0C6D4DA9"/>
    <w:rsid w:val="0CA11DC5"/>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BC3EFD"/>
    <w:rsid w:val="10D74566"/>
    <w:rsid w:val="11186A50"/>
    <w:rsid w:val="11341F76"/>
    <w:rsid w:val="11AE2F10"/>
    <w:rsid w:val="1254553E"/>
    <w:rsid w:val="12704669"/>
    <w:rsid w:val="12BE7183"/>
    <w:rsid w:val="12CC784B"/>
    <w:rsid w:val="13165211"/>
    <w:rsid w:val="133C10E7"/>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BC30B6"/>
    <w:rsid w:val="1BC3580A"/>
    <w:rsid w:val="1C033E95"/>
    <w:rsid w:val="1D1A7884"/>
    <w:rsid w:val="1D3D2092"/>
    <w:rsid w:val="1D872966"/>
    <w:rsid w:val="1D9A65EB"/>
    <w:rsid w:val="1DE74B45"/>
    <w:rsid w:val="1E12759A"/>
    <w:rsid w:val="1E247949"/>
    <w:rsid w:val="1E5D6A43"/>
    <w:rsid w:val="1F31662D"/>
    <w:rsid w:val="1F6B7C4E"/>
    <w:rsid w:val="1F925845"/>
    <w:rsid w:val="1F9B58B9"/>
    <w:rsid w:val="1FEF4E1F"/>
    <w:rsid w:val="1FFE35F4"/>
    <w:rsid w:val="20316887"/>
    <w:rsid w:val="20352914"/>
    <w:rsid w:val="20A420AE"/>
    <w:rsid w:val="20AC0F62"/>
    <w:rsid w:val="212631EB"/>
    <w:rsid w:val="214A01DA"/>
    <w:rsid w:val="226A4691"/>
    <w:rsid w:val="22B20386"/>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C0B54C5"/>
    <w:rsid w:val="2C1367CA"/>
    <w:rsid w:val="2C1874AC"/>
    <w:rsid w:val="2C6270DE"/>
    <w:rsid w:val="2CAF0087"/>
    <w:rsid w:val="2CAF4195"/>
    <w:rsid w:val="2D2E46E8"/>
    <w:rsid w:val="2D2F50A1"/>
    <w:rsid w:val="2D582B8D"/>
    <w:rsid w:val="2D5D224D"/>
    <w:rsid w:val="2E7C26FA"/>
    <w:rsid w:val="2E8D196B"/>
    <w:rsid w:val="2EDE2C2F"/>
    <w:rsid w:val="2F065CE2"/>
    <w:rsid w:val="2F083808"/>
    <w:rsid w:val="2F54730F"/>
    <w:rsid w:val="2F882B9B"/>
    <w:rsid w:val="2FD1009E"/>
    <w:rsid w:val="2FF273E1"/>
    <w:rsid w:val="303656EA"/>
    <w:rsid w:val="30672761"/>
    <w:rsid w:val="308E5F8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9230F37"/>
    <w:rsid w:val="39ED1E87"/>
    <w:rsid w:val="3A1E08FF"/>
    <w:rsid w:val="3A443B62"/>
    <w:rsid w:val="3A5F655A"/>
    <w:rsid w:val="3A9C053F"/>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5874059"/>
    <w:rsid w:val="45BB0506"/>
    <w:rsid w:val="465C2EFD"/>
    <w:rsid w:val="468B39AB"/>
    <w:rsid w:val="46A53C0E"/>
    <w:rsid w:val="48124510"/>
    <w:rsid w:val="482A0CEB"/>
    <w:rsid w:val="485B27A2"/>
    <w:rsid w:val="486378A9"/>
    <w:rsid w:val="48AA6DEF"/>
    <w:rsid w:val="494F66E1"/>
    <w:rsid w:val="49724248"/>
    <w:rsid w:val="498B355B"/>
    <w:rsid w:val="4A192375"/>
    <w:rsid w:val="4A2645B2"/>
    <w:rsid w:val="4ABF25B2"/>
    <w:rsid w:val="4B1650A7"/>
    <w:rsid w:val="4B3612A5"/>
    <w:rsid w:val="4C4C4E16"/>
    <w:rsid w:val="4D5C44CE"/>
    <w:rsid w:val="4DCB2178"/>
    <w:rsid w:val="4E2A3343"/>
    <w:rsid w:val="4E775E5C"/>
    <w:rsid w:val="4E824F2D"/>
    <w:rsid w:val="4E943E84"/>
    <w:rsid w:val="4E9A448D"/>
    <w:rsid w:val="4F675ED1"/>
    <w:rsid w:val="50811214"/>
    <w:rsid w:val="50EE1EEB"/>
    <w:rsid w:val="5103756C"/>
    <w:rsid w:val="511F5C26"/>
    <w:rsid w:val="514C1822"/>
    <w:rsid w:val="51A451BA"/>
    <w:rsid w:val="51A46D52"/>
    <w:rsid w:val="51B04EBE"/>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B34C8F"/>
    <w:rsid w:val="5EC172E1"/>
    <w:rsid w:val="5EE96902"/>
    <w:rsid w:val="5F4955F3"/>
    <w:rsid w:val="60FF065F"/>
    <w:rsid w:val="61025A59"/>
    <w:rsid w:val="615D6DD5"/>
    <w:rsid w:val="616C27E7"/>
    <w:rsid w:val="61777260"/>
    <w:rsid w:val="625B3673"/>
    <w:rsid w:val="635E2141"/>
    <w:rsid w:val="63F20007"/>
    <w:rsid w:val="640A7213"/>
    <w:rsid w:val="64446389"/>
    <w:rsid w:val="64561E9B"/>
    <w:rsid w:val="64852C29"/>
    <w:rsid w:val="6509567F"/>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C3F4006"/>
    <w:rsid w:val="6CD57DA9"/>
    <w:rsid w:val="6D3C7A35"/>
    <w:rsid w:val="6D5817FA"/>
    <w:rsid w:val="6D777986"/>
    <w:rsid w:val="6E1F40EF"/>
    <w:rsid w:val="6E22598D"/>
    <w:rsid w:val="6EA77C40"/>
    <w:rsid w:val="6F047284"/>
    <w:rsid w:val="6FC22B43"/>
    <w:rsid w:val="6FF137F8"/>
    <w:rsid w:val="6FFB46E7"/>
    <w:rsid w:val="705169D2"/>
    <w:rsid w:val="70C04FE9"/>
    <w:rsid w:val="70C7022B"/>
    <w:rsid w:val="70DC5258"/>
    <w:rsid w:val="719B386C"/>
    <w:rsid w:val="71FD45C9"/>
    <w:rsid w:val="732950C8"/>
    <w:rsid w:val="738F3EEE"/>
    <w:rsid w:val="73CD1EF7"/>
    <w:rsid w:val="740404D8"/>
    <w:rsid w:val="74534AF2"/>
    <w:rsid w:val="74865660"/>
    <w:rsid w:val="74BD01BD"/>
    <w:rsid w:val="74DB514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 w:val="7FE26D2A"/>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2"/>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Normal (Web)"/>
    <w:basedOn w:val="1"/>
    <w:qFormat/>
    <w:uiPriority w:val="0"/>
    <w:pPr>
      <w:spacing w:beforeAutospacing="1" w:afterAutospacing="1"/>
      <w:jc w:val="left"/>
    </w:pPr>
    <w:rPr>
      <w:rFonts w:cs="Times New Roman"/>
      <w:kern w:val="0"/>
      <w:sz w:val="24"/>
    </w:rPr>
  </w:style>
  <w:style w:type="paragraph" w:styleId="30">
    <w:name w:val="annotation subject"/>
    <w:basedOn w:val="8"/>
    <w:next w:val="8"/>
    <w:link w:val="97"/>
    <w:qFormat/>
    <w:uiPriority w:val="0"/>
    <w:rPr>
      <w:b/>
      <w:bCs/>
    </w:rPr>
  </w:style>
  <w:style w:type="paragraph" w:styleId="31">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0"/>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8"/>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1"/>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23</Pages>
  <Words>7773</Words>
  <Characters>8585</Characters>
  <Lines>71</Lines>
  <Paragraphs>20</Paragraphs>
  <TotalTime>11</TotalTime>
  <ScaleCrop>false</ScaleCrop>
  <LinksUpToDate>false</LinksUpToDate>
  <CharactersWithSpaces>9074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2025-07-30T08:21:00Z</dcterms:created>
  <dc:creator>Administrator</dc:creator>
  <cp:lastModifiedBy>Doris</cp:lastModifiedBy>
  <cp:lastPrinted>2016-04-21T07:25:00Z</cp:lastPrinted>
  <dcterms:modified xsi:type="dcterms:W3CDTF">2025-08-06T08:55:27Z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