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7088">
      <w:pPr>
        <w:widowControl/>
        <w:shd w:val="clear" w:color="auto" w:fill="FFFFFF"/>
        <w:spacing w:before="312" w:beforeLines="100" w:after="312" w:afterLines="100" w:line="360" w:lineRule="atLeas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36"/>
          <w:sz w:val="44"/>
          <w:szCs w:val="44"/>
          <w:lang w:val="en-US" w:eastAsia="zh-CN"/>
        </w:rPr>
      </w:pPr>
      <w:bookmarkStart w:id="0" w:name="OLE_LINK4"/>
      <w:bookmarkStart w:id="1" w:name="OLE_LINK2"/>
      <w:r>
        <w:rPr>
          <w:rFonts w:hint="eastAsia" w:ascii="宋体" w:hAnsi="宋体" w:eastAsia="宋体" w:cs="宋体"/>
          <w:b/>
          <w:bCs/>
          <w:color w:val="000000"/>
          <w:kern w:val="36"/>
          <w:sz w:val="44"/>
          <w:szCs w:val="44"/>
          <w:lang w:eastAsia="zh-CN"/>
        </w:rPr>
        <w:t>合肥综合性科学中心环境研究院微波消解仪设备采购更正公告（一）</w:t>
      </w:r>
    </w:p>
    <w:p w14:paraId="37C9D669">
      <w:pPr>
        <w:spacing w:after="0" w:line="56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一、项目基本情况</w:t>
      </w:r>
    </w:p>
    <w:p w14:paraId="278D4975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项目名称：合肥综合性科学中心环境研究院微波消解仪设备采购</w:t>
      </w:r>
    </w:p>
    <w:p w14:paraId="67048055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首次公告日期：2025年10月14日</w:t>
      </w:r>
    </w:p>
    <w:p w14:paraId="19F186CD">
      <w:pPr>
        <w:spacing w:after="0" w:line="56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二、更正信息</w:t>
      </w:r>
    </w:p>
    <w:p w14:paraId="54743317">
      <w:pPr>
        <w:spacing w:after="0"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更正事项：采购公告、采购文件</w:t>
      </w:r>
    </w:p>
    <w:p w14:paraId="01E38F51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更正内容：</w:t>
      </w:r>
    </w:p>
    <w:tbl>
      <w:tblPr>
        <w:tblStyle w:val="10"/>
        <w:tblW w:w="89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844"/>
        <w:gridCol w:w="2635"/>
        <w:gridCol w:w="2636"/>
      </w:tblGrid>
      <w:tr w14:paraId="25EAF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1D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4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3A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更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正项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84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更正前内容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24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更正后内容</w:t>
            </w:r>
          </w:p>
        </w:tc>
      </w:tr>
      <w:tr w14:paraId="19FEA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38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13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询价公告-参与方式-2、响应文件递交截止时间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38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2025年11月20日15：30（北京时间）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81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2025年11月24日15：30（北京时间）</w:t>
            </w:r>
          </w:p>
        </w:tc>
      </w:tr>
      <w:tr w14:paraId="28459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B5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</w:p>
        </w:tc>
        <w:tc>
          <w:tcPr>
            <w:tcW w:w="284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E6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第五章：采购需求-三、技术需求；第九章响应文件格式-分项报价表</w:t>
            </w:r>
          </w:p>
        </w:tc>
        <w:tc>
          <w:tcPr>
            <w:tcW w:w="263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A3FC6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1、具备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全自动消解罐识别系统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为提高消解的效率及减少人为操作带来的误差，需实现样品的全自动消解，确保实验的准确性与安全性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 w14:paraId="7864576E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2、具备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样品控温精度：±1 ℃；</w:t>
            </w:r>
          </w:p>
          <w:p w14:paraId="0DD94E35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微波输出功率≥1900W；</w:t>
            </w:r>
          </w:p>
          <w:p w14:paraId="0945F021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4、具备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全自动过温保护；</w:t>
            </w:r>
          </w:p>
          <w:p w14:paraId="710FEC08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5、具备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全罐温度控制系统；</w:t>
            </w:r>
          </w:p>
          <w:p w14:paraId="5FED92BD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6、具备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全罐压力控制系统；</w:t>
            </w:r>
          </w:p>
          <w:p w14:paraId="093E0733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配置反应罐数≥12； </w:t>
            </w:r>
          </w:p>
          <w:p w14:paraId="0F0571AC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样品消解罐体积：≥62 ml，消解罐高度≤155mm，最高耐压：100 bar，最高耐温：300 ℃；</w:t>
            </w:r>
          </w:p>
          <w:p w14:paraId="67888169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微波泄漏量≤0.05 mW/cm2。</w:t>
            </w:r>
          </w:p>
          <w:p w14:paraId="6BD3B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59081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1、具备全自动消解罐识别系统：提高消解的效率及减少误差，需实现样品的全自动消解，确保实验的准确性与安全性；</w:t>
            </w:r>
          </w:p>
          <w:p w14:paraId="35648D90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2、具备样品控温精度：±1 ℃；</w:t>
            </w:r>
          </w:p>
          <w:p w14:paraId="754BE0AE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3、微波输出功率≥1900W；</w:t>
            </w:r>
          </w:p>
          <w:p w14:paraId="66BEC772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4、具备全自动过温保护；</w:t>
            </w:r>
          </w:p>
          <w:p w14:paraId="636529B3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5、具备全罐温度控制系统，控温范围：0-500℃；</w:t>
            </w:r>
          </w:p>
          <w:p w14:paraId="16E87B5C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6、具备全罐压力控制系统；</w:t>
            </w:r>
          </w:p>
          <w:p w14:paraId="4D333FE8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7、配备反应罐位数≥40，并随仪器配备至少40个消解罐（样品消解罐和盖子的材料均为PTFE-TFM），消解罐内塞和盖子不含任何金属部件，可泡酸清洗（提供实物图片）； </w:t>
            </w:r>
          </w:p>
          <w:p w14:paraId="6163AFE6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8、样品消解罐体积：≥62 ml，消解罐高度≤155mm，最高耐压：100 bar，最高耐温：300 ℃；</w:t>
            </w:r>
          </w:p>
          <w:p w14:paraId="437E20D4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9、微波泄漏量≤0.05 mW/cm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；</w:t>
            </w:r>
          </w:p>
          <w:p w14:paraId="26591F69">
            <w:pPr>
              <w:pStyle w:val="9"/>
              <w:spacing w:after="0" w:line="360" w:lineRule="auto"/>
              <w:ind w:left="0" w:leftChars="0"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10、包含同一品牌配套赶酸仪一套，处理位数≥40。</w:t>
            </w:r>
          </w:p>
        </w:tc>
      </w:tr>
    </w:tbl>
    <w:p w14:paraId="4991170F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更正日期：2025年11月18日</w:t>
      </w:r>
    </w:p>
    <w:p w14:paraId="1D28BBFC">
      <w:pPr>
        <w:spacing w:after="0" w:line="56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三、凡对本次公告内容提出询问，请按以下方式联系。</w:t>
      </w:r>
    </w:p>
    <w:p w14:paraId="22E24EFB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1.采购人信息</w:t>
      </w:r>
    </w:p>
    <w:p w14:paraId="7F2E6449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    称：合肥综合性科学中心环境研究院</w:t>
      </w:r>
    </w:p>
    <w:p w14:paraId="4611E830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    址：合肥蜀山经济技术开发区电商园四期E栋</w:t>
      </w:r>
    </w:p>
    <w:p w14:paraId="39CAD012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联系方式：0551-62105284</w:t>
      </w:r>
    </w:p>
    <w:p w14:paraId="4A186133">
      <w:pPr>
        <w:spacing w:after="0"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2.项目联系方式</w:t>
      </w:r>
    </w:p>
    <w:p w14:paraId="1E23C146">
      <w:pPr>
        <w:spacing w:after="0"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项目联系人：张成工</w:t>
      </w:r>
    </w:p>
    <w:p w14:paraId="609B80B9">
      <w:pPr>
        <w:spacing w:after="0"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</w:t>
      </w:r>
      <w:bookmarkEnd w:id="0"/>
      <w:bookmarkEnd w:id="1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15055103026</w:t>
      </w:r>
    </w:p>
    <w:p w14:paraId="62730A2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5223"/>
    <w:rsid w:val="015679D0"/>
    <w:rsid w:val="0B5D195B"/>
    <w:rsid w:val="0DF447F8"/>
    <w:rsid w:val="127B4DB2"/>
    <w:rsid w:val="134B68AE"/>
    <w:rsid w:val="16A668AC"/>
    <w:rsid w:val="1A517A63"/>
    <w:rsid w:val="1C115223"/>
    <w:rsid w:val="1CA94A00"/>
    <w:rsid w:val="1D0B56BA"/>
    <w:rsid w:val="1DE564A2"/>
    <w:rsid w:val="23BD6FE3"/>
    <w:rsid w:val="245E07C6"/>
    <w:rsid w:val="259A75DB"/>
    <w:rsid w:val="35092088"/>
    <w:rsid w:val="3E52684D"/>
    <w:rsid w:val="40C27F71"/>
    <w:rsid w:val="46F56910"/>
    <w:rsid w:val="4CAA1F4A"/>
    <w:rsid w:val="61F01D56"/>
    <w:rsid w:val="652D3694"/>
    <w:rsid w:val="6D8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next w:val="6"/>
    <w:qFormat/>
    <w:uiPriority w:val="0"/>
    <w:pPr>
      <w:ind w:firstLine="540"/>
    </w:pPr>
    <w:rPr>
      <w:rFonts w:eastAsia="仿宋_GB2312"/>
      <w:sz w:val="28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tabs>
        <w:tab w:val="left" w:pos="1418"/>
      </w:tabs>
      <w:autoSpaceDE w:val="0"/>
      <w:autoSpaceDN w:val="0"/>
      <w:adjustRightInd w:val="0"/>
      <w:spacing w:before="120"/>
      <w:ind w:left="1418" w:hanging="567"/>
      <w:jc w:val="left"/>
    </w:pPr>
    <w:rPr>
      <w:rFonts w:eastAsia="等线"/>
      <w:lang w:eastAsia="zh-TW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1365</Characters>
  <Lines>0</Lines>
  <Paragraphs>0</Paragraphs>
  <TotalTime>5</TotalTime>
  <ScaleCrop>false</ScaleCrop>
  <LinksUpToDate>false</LinksUpToDate>
  <CharactersWithSpaces>1408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2025-11-18T07:41:00Z</dcterms:created>
  <dc:creator>Doris</dc:creator>
  <cp:lastModifiedBy>Doris</cp:lastModifiedBy>
  <dcterms:modified xsi:type="dcterms:W3CDTF">2025-11-18T09:41:30Z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B95E197A20D1440B8E97B20545AF3694_11</vt:lpwstr>
  </property>
  <property fmtid="{D5CDD505-2E9C-101B-9397-08002B2CF9AE}" pid="4" name="KSOTemplateDocerSaveRecord">
    <vt:lpwstr>eyJoZGlkIjoiNTUyMTFkZDc3YzZlYmNlYmUxMWUyYjZkMzBlZjExNGIiLCJ1c2VySWQiOiI2ODM4MTg5ODEifQ==</vt:lpwstr>
  </property>
</Properties>
</file>