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超低温冷</w:t>
      </w:r>
      <w:bookmarkStart w:id="50" w:name="_GoBack"/>
      <w:bookmarkEnd w:id="50"/>
      <w:r>
        <w:rPr>
          <w:rFonts w:hint="eastAsia" w:ascii="Times New Roman" w:hAnsi="Times New Roman" w:eastAsia="宋体" w:cs="宋体"/>
          <w:bCs/>
          <w:sz w:val="48"/>
          <w:szCs w:val="48"/>
        </w:rPr>
        <w:t>阱采购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月2</w:t>
      </w:r>
      <w:r>
        <w:rPr>
          <w:rFonts w:hint="eastAsia" w:ascii="Times New Roman" w:hAnsi="Times New Roman" w:eastAsia="宋体" w:cs="Times New Roman"/>
          <w:bCs/>
          <w:kern w:val="0"/>
          <w:sz w:val="32"/>
          <w:szCs w:val="21"/>
        </w:rPr>
        <w:t>8日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超低温冷阱</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超低温冷阱采购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4、采购内容：超低温冷阱，具体详见采购需求。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超低温冷阱</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11.0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合同签订后，接采购人通知 3 天内完成交货、验收合格并交付使用。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6091"/>
      <w:bookmarkStart w:id="17" w:name="_Toc18651"/>
      <w:bookmarkStart w:id="18" w:name="_Toc29684"/>
      <w:bookmarkStart w:id="19" w:name="_Toc30095"/>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23237"/>
      <w:bookmarkStart w:id="22" w:name="_Toc455587089"/>
      <w:bookmarkStart w:id="23" w:name="_Toc455587273"/>
      <w:bookmarkStart w:id="24" w:name="_Toc532199622"/>
      <w:bookmarkStart w:id="25" w:name="_Toc445554747"/>
      <w:bookmarkStart w:id="26" w:name="_Toc216158627"/>
      <w:bookmarkStart w:id="27" w:name="_Toc363199267"/>
      <w:bookmarkStart w:id="28" w:name="_Toc6149"/>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超低温冷阱。致力于研制高精度温室气体分析仪及温室气体通量观测仪，以改变国内缺乏高端检测装置的现状。</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超低温冷阱</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3EC28D09">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*除水效果要求：样气含水率小于0.04%。</w:t>
            </w:r>
          </w:p>
          <w:p w14:paraId="1E7D05F9">
            <w:pPr>
              <w:pStyle w:val="72"/>
              <w:numPr>
                <w:ilvl w:val="0"/>
                <w:numId w:val="3"/>
              </w:numPr>
              <w:ind w:firstLineChars="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*经过除水系统监测的样气水汽值降低至≤40ppm。</w:t>
            </w:r>
          </w:p>
          <w:p w14:paraId="3D5AE545">
            <w:pPr>
              <w:pStyle w:val="72"/>
              <w:numPr>
                <w:ilvl w:val="0"/>
                <w:numId w:val="3"/>
              </w:numPr>
              <w:ind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可同时2路制冷除水。</w:t>
            </w:r>
          </w:p>
          <w:p w14:paraId="0CDD93C3">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2路皆配备质量流速控制计控制进气流量。</w:t>
            </w:r>
          </w:p>
          <w:p w14:paraId="1D6F0E77">
            <w:pPr>
              <w:pStyle w:val="72"/>
              <w:numPr>
                <w:ilvl w:val="0"/>
                <w:numId w:val="3"/>
              </w:numPr>
              <w:ind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除水设备涉及的气路材质要求无污染、无泄漏、无温室气体吸附及渗透。</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2CB035E6">
      <w:pPr>
        <w:spacing w:line="360" w:lineRule="auto"/>
        <w:ind w:firstLine="482" w:firstLineChars="200"/>
        <w:rPr>
          <w:rFonts w:ascii="Times New Roman" w:hAnsi="Times New Roman" w:eastAsia="宋体" w:cs="Times New Roman"/>
          <w:b/>
          <w:sz w:val="24"/>
          <w:szCs w:val="24"/>
        </w:rPr>
      </w:pPr>
    </w:p>
    <w:p w14:paraId="35EA6B1C">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30" w:name="_Toc363199268"/>
      <w:bookmarkStart w:id="31" w:name="_Toc25322"/>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bookmarkStart w:id="36" w:name="OLE_LINK5"/>
      <w:r>
        <w:rPr>
          <w:rFonts w:hint="eastAsia" w:ascii="Times New Roman" w:hAnsi="Times New Roman" w:eastAsia="宋体" w:cs="Times New Roman"/>
          <w:b/>
          <w:color w:val="000000"/>
          <w:sz w:val="28"/>
          <w:szCs w:val="6"/>
        </w:rPr>
        <w:t>合肥综合性科学中心环境研究院</w:t>
      </w:r>
      <w:r>
        <w:rPr>
          <w:rFonts w:ascii="Times New Roman" w:hAnsi="Times New Roman" w:eastAsia="宋体" w:cs="Times New Roman"/>
          <w:b/>
          <w:sz w:val="28"/>
          <w:szCs w:val="6"/>
        </w:rPr>
        <w:t>超低温冷阱</w:t>
      </w:r>
      <w:r>
        <w:rPr>
          <w:rFonts w:hint="eastAsia" w:ascii="Times New Roman" w:hAnsi="Times New Roman" w:eastAsia="宋体" w:cs="Times New Roman"/>
          <w:b/>
          <w:sz w:val="28"/>
          <w:szCs w:val="6"/>
        </w:rPr>
        <w:t>采购</w:t>
      </w:r>
      <w:bookmarkEnd w:id="36"/>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7" w:name="_Toc5390"/>
      <w:bookmarkStart w:id="38" w:name="_Toc4938"/>
      <w:r>
        <w:rPr>
          <w:rFonts w:ascii="Times New Roman" w:hAnsi="Times New Roman" w:eastAsia="宋体" w:cs="Times New Roman"/>
          <w:color w:val="000000"/>
          <w:sz w:val="24"/>
          <w:szCs w:val="24"/>
        </w:rPr>
        <w:t>附件一</w:t>
      </w:r>
      <w:bookmarkEnd w:id="37"/>
      <w:bookmarkEnd w:id="38"/>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9" w:name="OLE_LINK6"/>
            <w:r>
              <w:rPr>
                <w:rFonts w:hint="eastAsia" w:ascii="Times New Roman" w:hAnsi="Times New Roman" w:eastAsia="宋体" w:cs="Times New Roman"/>
                <w:color w:val="000000"/>
                <w:sz w:val="24"/>
              </w:rPr>
              <w:t>法人身份证正面</w:t>
            </w:r>
            <w:bookmarkEnd w:id="39"/>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40" w:name="_Toc1715"/>
      <w:bookmarkStart w:id="41"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40"/>
      <w:bookmarkEnd w:id="41"/>
    </w:p>
    <w:p w14:paraId="760AA8C4">
      <w:pPr>
        <w:spacing w:line="360" w:lineRule="auto"/>
        <w:jc w:val="center"/>
        <w:rPr>
          <w:rFonts w:ascii="Times New Roman" w:hAnsi="Times New Roman" w:eastAsia="宋体" w:cs="Times New Roman"/>
          <w:b/>
          <w:color w:val="000000"/>
          <w:sz w:val="24"/>
          <w:szCs w:val="24"/>
        </w:rPr>
      </w:pPr>
      <w:bookmarkStart w:id="42" w:name="_Toc148501698"/>
      <w:bookmarkStart w:id="43" w:name="_Toc516969098"/>
      <w:r>
        <w:rPr>
          <w:rFonts w:ascii="Times New Roman" w:hAnsi="Times New Roman" w:eastAsia="宋体" w:cs="Times New Roman"/>
          <w:b/>
          <w:color w:val="000000"/>
          <w:sz w:val="24"/>
          <w:szCs w:val="24"/>
        </w:rPr>
        <w:t>报价</w:t>
      </w:r>
      <w:bookmarkEnd w:id="42"/>
      <w:bookmarkEnd w:id="43"/>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超低温冷阱采购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785"/>
        <w:gridCol w:w="4250"/>
        <w:gridCol w:w="524"/>
        <w:gridCol w:w="524"/>
        <w:gridCol w:w="1201"/>
        <w:gridCol w:w="1201"/>
      </w:tblGrid>
      <w:tr w14:paraId="760AA8DD">
        <w:tblPrEx>
          <w:tblCellMar>
            <w:top w:w="0" w:type="dxa"/>
            <w:left w:w="108" w:type="dxa"/>
            <w:bottom w:w="0" w:type="dxa"/>
            <w:right w:w="108" w:type="dxa"/>
          </w:tblCellMar>
        </w:tblPrEx>
        <w:trPr>
          <w:trHeight w:val="375"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4" w:name="OLE_LINK9"/>
            <w:r>
              <w:rPr>
                <w:rFonts w:ascii="Times New Roman" w:hAnsi="Times New Roman" w:eastAsia="宋体" w:cs="Times New Roman"/>
                <w:b/>
                <w:bCs/>
                <w:color w:val="000000"/>
                <w:sz w:val="24"/>
                <w:szCs w:val="24"/>
              </w:rPr>
              <w:t>序号</w:t>
            </w:r>
          </w:p>
        </w:tc>
        <w:tc>
          <w:tcPr>
            <w:tcW w:w="765"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143"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3402"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5"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超低温冷阱</w:t>
            </w:r>
          </w:p>
        </w:tc>
        <w:tc>
          <w:tcPr>
            <w:tcW w:w="4143" w:type="dxa"/>
            <w:tcBorders>
              <w:top w:val="nil"/>
              <w:left w:val="single" w:color="auto" w:sz="4" w:space="0"/>
              <w:bottom w:val="single" w:color="auto" w:sz="4" w:space="0"/>
              <w:right w:val="single" w:color="auto" w:sz="4" w:space="0"/>
            </w:tcBorders>
            <w:shd w:val="clear" w:color="auto" w:fill="FFFFFF"/>
            <w:vAlign w:val="center"/>
          </w:tcPr>
          <w:p w14:paraId="0A57D4AD">
            <w:pPr>
              <w:pStyle w:val="72"/>
              <w:numPr>
                <w:ilvl w:val="0"/>
                <w:numId w:val="4"/>
              </w:numPr>
              <w:ind w:firstLineChars="0"/>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*除水效果要求：样气含水率小于0.04%。</w:t>
            </w:r>
          </w:p>
          <w:p w14:paraId="6686A55F">
            <w:pPr>
              <w:pStyle w:val="72"/>
              <w:numPr>
                <w:ilvl w:val="0"/>
                <w:numId w:val="4"/>
              </w:numPr>
              <w:ind w:firstLineChars="0"/>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*经过除水系统监测的样气水汽值降低至≤40ppm。</w:t>
            </w:r>
          </w:p>
          <w:p w14:paraId="56831403">
            <w:pPr>
              <w:pStyle w:val="72"/>
              <w:numPr>
                <w:ilvl w:val="0"/>
                <w:numId w:val="4"/>
              </w:numPr>
              <w:ind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可同时2路制冷除水。</w:t>
            </w:r>
          </w:p>
          <w:p w14:paraId="1AD53C9F">
            <w:pPr>
              <w:pStyle w:val="72"/>
              <w:numPr>
                <w:ilvl w:val="0"/>
                <w:numId w:val="4"/>
              </w:numPr>
              <w:ind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2路皆配备质量流速控制计控制进气流量。</w:t>
            </w:r>
          </w:p>
          <w:p w14:paraId="760AA8E0">
            <w:pPr>
              <w:pStyle w:val="72"/>
              <w:numPr>
                <w:ilvl w:val="0"/>
                <w:numId w:val="4"/>
              </w:numPr>
              <w:ind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除水设备涉及的气路材质要求无污染、无泄漏、无温室气体吸附及渗透。</w:t>
            </w:r>
          </w:p>
        </w:tc>
        <w:tc>
          <w:tcPr>
            <w:tcW w:w="511"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台</w:t>
            </w:r>
          </w:p>
        </w:tc>
        <w:tc>
          <w:tcPr>
            <w:tcW w:w="511"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4"/>
    </w:tbl>
    <w:p w14:paraId="1FEBAF4D">
      <w:pPr>
        <w:pStyle w:val="72"/>
        <w:spacing w:line="360" w:lineRule="auto"/>
        <w:ind w:firstLine="482"/>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rPr>
        <w:t>注：上述技术参数标“*”项为重要技术参数，供应商须在响应文件中提供功能截图或产品彩页或技术说明书等证明材料，提供其中之一即，无相关证明材料响应文件按无效处理。</w:t>
      </w:r>
    </w:p>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超低温冷阱采购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5" w:name="_Toc29251"/>
      <w:bookmarkStart w:id="46" w:name="_Toc6818"/>
      <w:r>
        <w:rPr>
          <w:rFonts w:ascii="Times New Roman" w:hAnsi="Times New Roman" w:eastAsia="宋体" w:cs="Times New Roman"/>
          <w:color w:val="000000"/>
          <w:sz w:val="24"/>
          <w:szCs w:val="24"/>
        </w:rPr>
        <w:t>附件四</w:t>
      </w:r>
      <w:bookmarkEnd w:id="45"/>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7" w:name="_Toc72431438"/>
      <w:bookmarkStart w:id="48" w:name="_Toc72431762"/>
      <w:r>
        <w:rPr>
          <w:rFonts w:ascii="Times New Roman" w:hAnsi="Times New Roman" w:eastAsia="仿宋" w:cs="Times New Roman"/>
          <w:b/>
          <w:sz w:val="32"/>
          <w:szCs w:val="32"/>
        </w:rPr>
        <w:t>书面承诺函</w:t>
      </w:r>
      <w:bookmarkEnd w:id="47"/>
      <w:bookmarkEnd w:id="48"/>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9" w:name="_Toc13447"/>
      <w:r>
        <w:rPr>
          <w:rFonts w:ascii="Times New Roman" w:hAnsi="Times New Roman" w:eastAsia="宋体" w:cs="Times New Roman"/>
          <w:color w:val="000000"/>
          <w:sz w:val="24"/>
          <w:szCs w:val="24"/>
        </w:rPr>
        <w:t>附件</w:t>
      </w:r>
      <w:bookmarkEnd w:id="46"/>
      <w:r>
        <w:rPr>
          <w:rFonts w:ascii="Times New Roman" w:hAnsi="Times New Roman" w:eastAsia="宋体" w:cs="Times New Roman"/>
          <w:color w:val="000000"/>
          <w:sz w:val="24"/>
          <w:szCs w:val="24"/>
        </w:rPr>
        <w:t>五</w:t>
      </w:r>
      <w:bookmarkEnd w:id="49"/>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CB2EAC"/>
    <w:multiLevelType w:val="multilevel"/>
    <w:tmpl w:val="7DCB2EA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0719"/>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06A0"/>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4C"/>
    <w:rsid w:val="00A5789A"/>
    <w:rsid w:val="00A57DA6"/>
    <w:rsid w:val="00A6269F"/>
    <w:rsid w:val="00A6311F"/>
    <w:rsid w:val="00A65C23"/>
    <w:rsid w:val="00A667E2"/>
    <w:rsid w:val="00A72D83"/>
    <w:rsid w:val="00A75C72"/>
    <w:rsid w:val="00A847F4"/>
    <w:rsid w:val="00A95AF0"/>
    <w:rsid w:val="00A97606"/>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60279"/>
    <w:rsid w:val="00B73405"/>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418F0"/>
    <w:rsid w:val="03195159"/>
    <w:rsid w:val="03767DB2"/>
    <w:rsid w:val="03D51A5C"/>
    <w:rsid w:val="040C3F64"/>
    <w:rsid w:val="045B4350"/>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D108E"/>
    <w:rsid w:val="0EBE6469"/>
    <w:rsid w:val="0ED92C31"/>
    <w:rsid w:val="0F037FCF"/>
    <w:rsid w:val="0F0D79B3"/>
    <w:rsid w:val="0F152C78"/>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CA360B"/>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864004"/>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22657D"/>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3C4919"/>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B009A"/>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23730C"/>
    <w:rsid w:val="599F0C78"/>
    <w:rsid w:val="59B91A1F"/>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663C6C"/>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82360D"/>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821119"/>
    <w:rsid w:val="7CD460A4"/>
    <w:rsid w:val="7CD81A13"/>
    <w:rsid w:val="7DB61C4E"/>
    <w:rsid w:val="7E2117BD"/>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7142</Words>
  <Characters>7299</Characters>
  <Lines>62</Lines>
  <Paragraphs>17</Paragraphs>
  <TotalTime>1</TotalTime>
  <ScaleCrop>false</ScaleCrop>
  <LinksUpToDate>false</LinksUpToDate>
  <CharactersWithSpaces>7692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2025-11-28T03:23:45Z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