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bookmarkStart w:id="0" w:name="OLE_LINK1"/>
    </w:p>
    <w:p w14:paraId="760AA6EF">
      <w:pPr>
        <w:widowControl/>
        <w:spacing w:after="160" w:line="276" w:lineRule="auto"/>
        <w:jc w:val="center"/>
        <w:rPr>
          <w:rFonts w:hint="eastAsia" w:ascii="宋体" w:hAnsi="宋体" w:eastAsia="宋体" w:cs="宋体"/>
          <w:bCs/>
          <w:sz w:val="48"/>
          <w:szCs w:val="48"/>
        </w:rPr>
      </w:pPr>
      <w:r>
        <w:rPr>
          <w:rFonts w:hint="eastAsia" w:ascii="宋体" w:hAnsi="宋体" w:eastAsia="宋体" w:cs="宋体"/>
          <w:bCs/>
          <w:sz w:val="48"/>
          <w:szCs w:val="48"/>
        </w:rPr>
        <w:t>准直头透镜（第二批）采购</w:t>
      </w:r>
    </w:p>
    <w:bookmarkEnd w:id="0"/>
    <w:p w14:paraId="298827A7">
      <w:pPr>
        <w:widowControl/>
        <w:spacing w:line="276" w:lineRule="auto"/>
        <w:jc w:val="center"/>
        <w:rPr>
          <w:rFonts w:ascii="Times New Roman" w:hAnsi="Times New Roman" w:eastAsia="宋体" w:cs="Times New Roman"/>
          <w:b/>
          <w:sz w:val="72"/>
          <w:szCs w:val="72"/>
        </w:rPr>
      </w:pPr>
    </w:p>
    <w:p w14:paraId="7662BAC6">
      <w:pPr>
        <w:widowControl/>
        <w:spacing w:line="276" w:lineRule="auto"/>
        <w:rPr>
          <w:rFonts w:hint="eastAsia" w:ascii="Times New Roman" w:hAnsi="Times New Roman" w:eastAsia="宋体" w:cs="Times New Roman"/>
          <w:b/>
          <w:sz w:val="72"/>
          <w:szCs w:val="72"/>
        </w:rPr>
      </w:pPr>
    </w:p>
    <w:p w14:paraId="5EA4B579">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询</w:t>
      </w:r>
    </w:p>
    <w:p w14:paraId="04313DCF">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价</w:t>
      </w:r>
    </w:p>
    <w:p w14:paraId="1F60B7A4">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文</w:t>
      </w:r>
    </w:p>
    <w:p w14:paraId="760AA6F0">
      <w:pPr>
        <w:widowControl/>
        <w:spacing w:line="276" w:lineRule="auto"/>
        <w:jc w:val="center"/>
        <w:rPr>
          <w:rFonts w:ascii="Times New Roman" w:hAnsi="Times New Roman" w:eastAsia="宋体" w:cs="Times New Roman"/>
          <w:b/>
          <w:sz w:val="96"/>
          <w:szCs w:val="96"/>
        </w:rPr>
      </w:pPr>
      <w:r>
        <w:rPr>
          <w:rFonts w:ascii="Times New Roman" w:hAnsi="Times New Roman" w:eastAsia="宋体" w:cs="Times New Roman"/>
          <w:b/>
          <w:sz w:val="96"/>
          <w:szCs w:val="96"/>
        </w:rPr>
        <w:t>件</w:t>
      </w:r>
    </w:p>
    <w:p w14:paraId="760AA6F1">
      <w:pPr>
        <w:pStyle w:val="80"/>
        <w:spacing w:line="360" w:lineRule="auto"/>
        <w:rPr>
          <w:rFonts w:ascii="Times New Roman" w:hAnsi="Times New Roman" w:eastAsia="宋体" w:cs="Times New Roman"/>
        </w:rPr>
      </w:pPr>
    </w:p>
    <w:p w14:paraId="760AA6FE">
      <w:pPr>
        <w:widowControl/>
        <w:rPr>
          <w:rFonts w:ascii="Times New Roman" w:hAnsi="Times New Roman" w:eastAsia="宋体" w:cs="Times New Roman"/>
          <w:b/>
          <w:kern w:val="0"/>
          <w:sz w:val="28"/>
        </w:rPr>
      </w:pPr>
    </w:p>
    <w:p w14:paraId="5625C592">
      <w:pPr>
        <w:widowControl/>
        <w:rPr>
          <w:rFonts w:hint="eastAsia"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spacing w:line="360" w:lineRule="auto"/>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3">
      <w:pPr>
        <w:spacing w:line="360" w:lineRule="auto"/>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04</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24日</w:t>
      </w:r>
      <w:r>
        <w:rPr>
          <w:rFonts w:ascii="Times New Roman" w:hAnsi="Times New Roman" w:eastAsia="宋体" w:cs="Times New Roman"/>
          <w:b/>
          <w:color w:val="000000"/>
          <w:sz w:val="24"/>
          <w:szCs w:val="24"/>
        </w:rPr>
        <w:br w:type="page"/>
      </w:r>
    </w:p>
    <w:p w14:paraId="760AA70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准直头透镜（第二批）采购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准直头透镜（第二批）采购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4、采购内容：准直头透镜</w:t>
      </w:r>
      <w:r>
        <w:rPr>
          <w:rFonts w:hint="eastAsia" w:ascii="Times New Roman" w:hAnsi="Times New Roman" w:eastAsia="宋体" w:cs="Times New Roman"/>
          <w:kern w:val="0"/>
          <w:sz w:val="24"/>
          <w:szCs w:val="24"/>
        </w:rPr>
        <w:t>（第二批）</w:t>
      </w:r>
      <w:r>
        <w:rPr>
          <w:rFonts w:hint="eastAsia" w:ascii="Times New Roman" w:hAnsi="Times New Roman" w:eastAsia="宋体" w:cs="Times New Roman"/>
          <w:kern w:val="0"/>
          <w:sz w:val="24"/>
          <w:szCs w:val="24"/>
          <w:lang w:val="en-US" w:eastAsia="zh-CN"/>
        </w:rPr>
        <w:t>采购</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04</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65F5A7AE">
      <w:pPr>
        <w:autoSpaceDE w:val="0"/>
        <w:autoSpaceDN w:val="0"/>
        <w:adjustRightInd w:val="0"/>
        <w:snapToGrid w:val="0"/>
        <w:spacing w:line="360" w:lineRule="auto"/>
        <w:ind w:firstLine="458" w:firstLineChars="191"/>
        <w:outlineLvl w:val="1"/>
        <w:rPr>
          <w:rFonts w:hint="eastAsia" w:ascii="Times New Roman" w:hAnsi="Times New Roman" w:eastAsia="宋体" w:cs="Times New Roman"/>
          <w:bCs/>
          <w:sz w:val="24"/>
          <w:szCs w:val="24"/>
        </w:rPr>
      </w:pP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3636CE1">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E88E944">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准直头透镜</w:t>
            </w:r>
            <w:r>
              <w:rPr>
                <w:rFonts w:hint="eastAsia" w:ascii="Times New Roman" w:hAnsi="Times New Roman" w:eastAsia="宋体" w:cs="Times New Roman"/>
                <w:sz w:val="24"/>
              </w:rPr>
              <w:t>（第二批）</w:t>
            </w:r>
            <w:r>
              <w:rPr>
                <w:rFonts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11.28</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15</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hint="eastAsia"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18651"/>
      <w:bookmarkStart w:id="17" w:name="_Toc6091"/>
      <w:bookmarkStart w:id="18" w:name="_Toc30095"/>
      <w:bookmarkStart w:id="19" w:name="_Toc29684"/>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455587273"/>
      <w:bookmarkStart w:id="22" w:name="_Toc455587089"/>
      <w:bookmarkStart w:id="23" w:name="_Toc23237"/>
      <w:bookmarkStart w:id="24" w:name="_Toc532199622"/>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04EC2E64">
      <w:pPr>
        <w:spacing w:line="360" w:lineRule="auto"/>
        <w:ind w:firstLine="482" w:firstLineChars="2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7602" w:type="dxa"/>
        <w:jc w:val="center"/>
        <w:tblLayout w:type="fixed"/>
        <w:tblCellMar>
          <w:top w:w="0" w:type="dxa"/>
          <w:left w:w="108" w:type="dxa"/>
          <w:bottom w:w="0" w:type="dxa"/>
          <w:right w:w="108" w:type="dxa"/>
        </w:tblCellMar>
      </w:tblPr>
      <w:tblGrid>
        <w:gridCol w:w="561"/>
        <w:gridCol w:w="964"/>
        <w:gridCol w:w="4945"/>
        <w:gridCol w:w="566"/>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1B1CEC4D">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r>
      <w:tr w14:paraId="1E7E6C1C">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4AA3FC4">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425D3B10">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准直头透镜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0DAFAE35">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1.*有效焦距（E.F.L）：8.0 mm±1.0%</w:t>
            </w:r>
          </w:p>
          <w:p w14:paraId="27BACF1E">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2.*数值孔径（N.A.）：0.5mm</w:t>
            </w:r>
          </w:p>
          <w:p w14:paraId="44A87DA7">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3.*工作距离（W.D.）：5.9 mm</w:t>
            </w:r>
          </w:p>
          <w:p w14:paraId="0EE93BA6">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4.设计波长：780 nm</w:t>
            </w:r>
          </w:p>
          <w:p w14:paraId="24A209D3">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5.材料：BD-ZK3(m) </w:t>
            </w:r>
          </w:p>
          <w:p w14:paraId="775FB82B">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6.中心厚度：0.250 mm</w:t>
            </w:r>
          </w:p>
          <w:p w14:paraId="2E2945A1">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7.表面类型：</w:t>
            </w:r>
          </w:p>
          <w:p w14:paraId="0060FCA5">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1：非球面（ASPHERE）</w:t>
            </w:r>
          </w:p>
          <w:p w14:paraId="23C9008A">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2：平面（PLANO）</w:t>
            </w:r>
          </w:p>
        </w:tc>
        <w:tc>
          <w:tcPr>
            <w:tcW w:w="566" w:type="dxa"/>
            <w:tcBorders>
              <w:top w:val="nil"/>
              <w:left w:val="nil"/>
              <w:bottom w:val="single" w:color="auto" w:sz="4" w:space="0"/>
              <w:right w:val="single" w:color="auto" w:sz="4" w:space="0"/>
            </w:tcBorders>
            <w:shd w:val="clear" w:color="auto" w:fill="FFFFFF"/>
            <w:vAlign w:val="center"/>
          </w:tcPr>
          <w:p w14:paraId="7126634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68BABAE2">
            <w:pPr>
              <w:spacing w:line="360" w:lineRule="auto"/>
              <w:jc w:val="center"/>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24</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49043EBE">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0A2F70D7">
      <w:pPr>
        <w:spacing w:line="360" w:lineRule="auto"/>
        <w:rPr>
          <w:rFonts w:hint="eastAsia"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3595C5D0">
      <w:pPr>
        <w:spacing w:line="360" w:lineRule="auto"/>
        <w:ind w:firstLine="480" w:firstLineChars="200"/>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25322"/>
      <w:bookmarkStart w:id="30"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9C28F76">
      <w:pPr>
        <w:spacing w:line="360" w:lineRule="auto"/>
        <w:ind w:firstLine="470" w:firstLineChars="196"/>
        <w:rPr>
          <w:rFonts w:hint="eastAsia"/>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合肥综合性科学中心环境研究院准直头透镜（第二批）采购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bookmarkStart w:id="47" w:name="_GoBack"/>
      <w:bookmarkEnd w:id="47"/>
    </w:p>
    <w:p w14:paraId="760AA834">
      <w:pPr>
        <w:spacing w:line="900" w:lineRule="exact"/>
        <w:rPr>
          <w:rFonts w:hint="eastAsia"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hint="eastAsia"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hint="eastAsia"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24205"/>
      <w:bookmarkStart w:id="38" w:name="_Toc171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516969098"/>
      <w:bookmarkStart w:id="40" w:name="_Toc1485016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246"/>
        <w:gridCol w:w="112"/>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rPr>
            </w:pPr>
            <w:bookmarkStart w:id="41" w:name="_Hlk212801855"/>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760AA8D8">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综合单价</w:t>
            </w:r>
          </w:p>
        </w:tc>
        <w:tc>
          <w:tcPr>
            <w:tcW w:w="1358" w:type="dxa"/>
            <w:gridSpan w:val="2"/>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综合合价</w:t>
            </w:r>
          </w:p>
        </w:tc>
      </w:tr>
      <w:tr w14:paraId="760AA8EB">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E6">
            <w:pPr>
              <w:spacing w:line="360" w:lineRule="auto"/>
              <w:jc w:val="center"/>
              <w:rPr>
                <w:rFonts w:ascii="Times New Roman" w:hAnsi="Times New Roman" w:eastAsia="宋体"/>
                <w:sz w:val="24"/>
                <w:szCs w:val="24"/>
              </w:rPr>
            </w:pPr>
            <w:r>
              <w:rPr>
                <w:rFonts w:hint="eastAsia" w:ascii="Times New Roman" w:hAnsi="Times New Roman" w:eastAsia="宋体"/>
                <w:sz w:val="24"/>
                <w:szCs w:val="24"/>
              </w:rPr>
              <w:t>准直头透镜</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4C2CFDDF">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1.*有效焦距（E.F.L）：8.0 mm±1.0%</w:t>
            </w:r>
          </w:p>
          <w:p w14:paraId="7514296D">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2.*数值孔径（N.A.）：0.5mm</w:t>
            </w:r>
          </w:p>
          <w:p w14:paraId="21863D80">
            <w:pPr>
              <w:spacing w:line="280" w:lineRule="exact"/>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3.*工作距离（W.D.）：5.9 mm</w:t>
            </w:r>
          </w:p>
          <w:p w14:paraId="35F21791">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4.设计波长：780 nm</w:t>
            </w:r>
          </w:p>
          <w:p w14:paraId="237ED4C4">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5.材料：BD-ZK3(m) </w:t>
            </w:r>
          </w:p>
          <w:p w14:paraId="53B53ACB">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6.中心厚度：0.250 mm</w:t>
            </w:r>
          </w:p>
          <w:p w14:paraId="6A9D648C">
            <w:pPr>
              <w:spacing w:line="280" w:lineRule="exact"/>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7.表面类型：</w:t>
            </w:r>
          </w:p>
          <w:p w14:paraId="332730CB">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1：非球面（ASPHERE）</w:t>
            </w:r>
          </w:p>
          <w:p w14:paraId="760AA8E7">
            <w:p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表面 2：平面（PLANO）</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片</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24</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gridSpan w:val="2"/>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14:textFill>
                  <w14:solidFill>
                    <w14:schemeClr w14:val="tx1"/>
                  </w14:solidFill>
                </w14:textFill>
              </w:rPr>
            </w:pPr>
          </w:p>
        </w:tc>
      </w:tr>
      <w:tr w14:paraId="089D08F0">
        <w:tblPrEx>
          <w:tblCellMar>
            <w:top w:w="0" w:type="dxa"/>
            <w:left w:w="108" w:type="dxa"/>
            <w:bottom w:w="0" w:type="dxa"/>
            <w:right w:w="108" w:type="dxa"/>
          </w:tblCellMar>
        </w:tblPrEx>
        <w:trPr>
          <w:gridAfter w:val="1"/>
          <w:wAfter w:w="112" w:type="dxa"/>
          <w:trHeight w:val="454"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438"/>
      <w:bookmarkStart w:id="45" w:name="_Toc72431762"/>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6B7E"/>
    <w:rsid w:val="000E15A5"/>
    <w:rsid w:val="000E2082"/>
    <w:rsid w:val="000E5E50"/>
    <w:rsid w:val="000E6050"/>
    <w:rsid w:val="00100925"/>
    <w:rsid w:val="00120334"/>
    <w:rsid w:val="001228F1"/>
    <w:rsid w:val="00125CDA"/>
    <w:rsid w:val="00134CC9"/>
    <w:rsid w:val="00135E58"/>
    <w:rsid w:val="00137747"/>
    <w:rsid w:val="00144395"/>
    <w:rsid w:val="00146B88"/>
    <w:rsid w:val="00152AE4"/>
    <w:rsid w:val="00154885"/>
    <w:rsid w:val="00162888"/>
    <w:rsid w:val="001640A4"/>
    <w:rsid w:val="00164C1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67D83"/>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108DA"/>
    <w:rsid w:val="009126D0"/>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1974"/>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24D49"/>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5C414B"/>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606A5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0A7720"/>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44741"/>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BF00B3"/>
    <w:rsid w:val="2EDE2C2F"/>
    <w:rsid w:val="2F065CE2"/>
    <w:rsid w:val="2F083808"/>
    <w:rsid w:val="2F54730F"/>
    <w:rsid w:val="2F882B9B"/>
    <w:rsid w:val="2FAD43AF"/>
    <w:rsid w:val="2FD1009E"/>
    <w:rsid w:val="2FF273E1"/>
    <w:rsid w:val="2FFB15BE"/>
    <w:rsid w:val="303656EA"/>
    <w:rsid w:val="305667F5"/>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E8275B"/>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C460065"/>
    <w:rsid w:val="3C912234"/>
    <w:rsid w:val="3CFB49AC"/>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CF907DC"/>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BFD579B"/>
    <w:rsid w:val="6C3F4006"/>
    <w:rsid w:val="6CD57DA9"/>
    <w:rsid w:val="6D3C7A35"/>
    <w:rsid w:val="6D5817FA"/>
    <w:rsid w:val="6D777986"/>
    <w:rsid w:val="6E1F40EF"/>
    <w:rsid w:val="6E22598D"/>
    <w:rsid w:val="6EA61750"/>
    <w:rsid w:val="6EA77C40"/>
    <w:rsid w:val="6F047284"/>
    <w:rsid w:val="6FC22B43"/>
    <w:rsid w:val="6FF137F8"/>
    <w:rsid w:val="6FFB46E7"/>
    <w:rsid w:val="705169D2"/>
    <w:rsid w:val="70700CDD"/>
    <w:rsid w:val="70AC7790"/>
    <w:rsid w:val="70C04FE9"/>
    <w:rsid w:val="70C7022B"/>
    <w:rsid w:val="70DC5258"/>
    <w:rsid w:val="719B386C"/>
    <w:rsid w:val="71FD45C9"/>
    <w:rsid w:val="72A050D2"/>
    <w:rsid w:val="72F86CBC"/>
    <w:rsid w:val="732950C8"/>
    <w:rsid w:val="738F3EEE"/>
    <w:rsid w:val="73CD1EF7"/>
    <w:rsid w:val="740404D8"/>
    <w:rsid w:val="74534AF2"/>
    <w:rsid w:val="74865660"/>
    <w:rsid w:val="74BD01BD"/>
    <w:rsid w:val="74DB514D"/>
    <w:rsid w:val="75277DA9"/>
    <w:rsid w:val="754C32EF"/>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6810</Words>
  <Characters>7056</Characters>
  <Lines>59</Lines>
  <Paragraphs>16</Paragraphs>
  <TotalTime>73</TotalTime>
  <ScaleCrop>false</ScaleCrop>
  <LinksUpToDate>false</LinksUpToDate>
  <CharactersWithSpaces>7397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2026-04-24T06:23:08Z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